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16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燕麦主要病虫害综合防控技术规程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w:t>
      </w:r>
      <w:r>
        <w:rPr>
          <w:rFonts w:hAnsi="黑体"/>
          <w:w w:val="100"/>
          <w:sz w:val="28"/>
        </w:rPr>
        <w:t>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"_Toc181023453" </w:instrText>
      </w:r>
      <w:r>
        <w:fldChar w:fldCharType="separate"/>
      </w:r>
      <w:r>
        <w:rPr>
          <w:rStyle w:val="32"/>
          <w:rFonts w:hint="eastAsia"/>
        </w:rPr>
        <w:t>前言</w:t>
      </w:r>
      <w:r>
        <w:tab/>
      </w:r>
      <w:r>
        <w:fldChar w:fldCharType="begin"/>
      </w:r>
      <w:r>
        <w:instrText xml:space="preserve"> PAGEREF _Toc181023453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"_Toc181023454" </w:instrText>
      </w:r>
      <w:r>
        <w:fldChar w:fldCharType="separate"/>
      </w:r>
      <w:r>
        <w:rPr>
          <w:rStyle w:val="32"/>
        </w:rPr>
        <w:t xml:space="preserve">1 </w:t>
      </w:r>
      <w:r>
        <w:rPr>
          <w:rStyle w:val="32"/>
          <w:rFonts w:hint="eastAsia"/>
        </w:rPr>
        <w:t xml:space="preserve"> 范围</w:t>
      </w:r>
      <w:r>
        <w:tab/>
      </w:r>
      <w:r>
        <w:fldChar w:fldCharType="begin"/>
      </w:r>
      <w:r>
        <w:instrText xml:space="preserve"> PAGEREF _Toc181023454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"_Toc181023455"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_Toc181023455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"_Toc181023456"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_Toc181023456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"_Toc181023457" </w:instrText>
      </w:r>
      <w:r>
        <w:fldChar w:fldCharType="separate"/>
      </w:r>
      <w:r>
        <w:rPr>
          <w:rStyle w:val="32"/>
        </w:rPr>
        <w:t xml:space="preserve">4 </w:t>
      </w:r>
      <w:r>
        <w:rPr>
          <w:rStyle w:val="32"/>
          <w:rFonts w:hint="eastAsia"/>
        </w:rPr>
        <w:t xml:space="preserve"> 防控原则</w:t>
      </w:r>
      <w:r>
        <w:tab/>
      </w:r>
      <w:r>
        <w:fldChar w:fldCharType="begin"/>
      </w:r>
      <w:r>
        <w:instrText xml:space="preserve"> PAGEREF _Toc181023457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"_Toc181023458" </w:instrText>
      </w:r>
      <w:r>
        <w:fldChar w:fldCharType="separate"/>
      </w:r>
      <w:r>
        <w:rPr>
          <w:rStyle w:val="32"/>
        </w:rPr>
        <w:t xml:space="preserve">5 </w:t>
      </w:r>
      <w:r>
        <w:rPr>
          <w:rStyle w:val="32"/>
          <w:rFonts w:hint="eastAsia"/>
        </w:rPr>
        <w:t xml:space="preserve"> 防控对象</w:t>
      </w:r>
      <w:r>
        <w:tab/>
      </w:r>
      <w:r>
        <w:fldChar w:fldCharType="begin"/>
      </w:r>
      <w:r>
        <w:instrText xml:space="preserve"> PAGEREF _Toc181023458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"_Toc181023461" </w:instrText>
      </w:r>
      <w:r>
        <w:fldChar w:fldCharType="separate"/>
      </w:r>
      <w:r>
        <w:rPr>
          <w:rStyle w:val="32"/>
        </w:rPr>
        <w:t xml:space="preserve">6 </w:t>
      </w:r>
      <w:r>
        <w:rPr>
          <w:rStyle w:val="32"/>
          <w:rFonts w:hint="eastAsia"/>
        </w:rPr>
        <w:t xml:space="preserve"> 防控技术</w:t>
      </w:r>
      <w:r>
        <w:tab/>
      </w:r>
      <w:r>
        <w:fldChar w:fldCharType="begin"/>
      </w:r>
      <w:r>
        <w:instrText xml:space="preserve"> PAGEREF _Toc181023461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"_Toc181023466" </w:instrText>
      </w:r>
      <w:r>
        <w:fldChar w:fldCharType="separate"/>
      </w:r>
      <w:r>
        <w:rPr>
          <w:rStyle w:val="32"/>
          <w:rFonts w:hint="eastAsia"/>
        </w:rPr>
        <w:t>附录A（资料性）</w:t>
      </w:r>
      <w:r>
        <w:rPr>
          <w:rStyle w:val="32"/>
        </w:rPr>
        <w:t xml:space="preserve">  </w:t>
      </w:r>
      <w:r>
        <w:rPr>
          <w:rStyle w:val="32"/>
          <w:rFonts w:hint="eastAsia"/>
        </w:rPr>
        <w:t>燕麦主要病害田间症状识别</w:t>
      </w:r>
      <w:r>
        <w:tab/>
      </w:r>
      <w:r>
        <w:fldChar w:fldCharType="begin"/>
      </w:r>
      <w:r>
        <w:instrText xml:space="preserve"> PAGEREF _Toc181023466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"_Toc181023467" </w:instrText>
      </w:r>
      <w:r>
        <w:fldChar w:fldCharType="separate"/>
      </w:r>
      <w:r>
        <w:rPr>
          <w:rStyle w:val="32"/>
          <w:rFonts w:hint="eastAsia"/>
        </w:rPr>
        <w:t>附录B（规范性）</w:t>
      </w:r>
      <w:r>
        <w:rPr>
          <w:rStyle w:val="32"/>
        </w:rPr>
        <w:t xml:space="preserve">  </w:t>
      </w:r>
      <w:r>
        <w:rPr>
          <w:rStyle w:val="32"/>
          <w:rFonts w:hint="eastAsia"/>
        </w:rPr>
        <w:t>燕麦主要病虫害推荐用药</w:t>
      </w:r>
      <w:r>
        <w:tab/>
      </w:r>
      <w:r>
        <w:fldChar w:fldCharType="begin"/>
      </w:r>
      <w:r>
        <w:instrText xml:space="preserve"> PAGEREF _Toc181023467 \h </w:instrText>
      </w:r>
      <w:r>
        <w:fldChar w:fldCharType="separate"/>
      </w:r>
      <w:r>
        <w:t>5</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181023453"/>
      <w:bookmarkStart w:id="23" w:name="BookMark2"/>
      <w:r>
        <w:rPr>
          <w:spacing w:val="320"/>
        </w:rPr>
        <w:t>前</w:t>
      </w:r>
      <w:r>
        <w:t>言</w:t>
      </w:r>
      <w:bookmarkEnd w:id="22"/>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rPr>
          <w:rFonts w:hint="eastAsia"/>
        </w:rPr>
      </w:pPr>
      <w:r>
        <w:rPr>
          <w:rFonts w:hint="eastAsia"/>
        </w:rPr>
        <w:t>本文件由山西省农业农村厅提出、组织实施和监督检查。</w:t>
      </w:r>
    </w:p>
    <w:p>
      <w:pPr>
        <w:pStyle w:val="56"/>
        <w:ind w:firstLine="420"/>
        <w:rPr>
          <w:rFonts w:hint="eastAsia"/>
        </w:rPr>
      </w:pPr>
      <w:r>
        <w:rPr>
          <w:rFonts w:hint="eastAsia"/>
        </w:rPr>
        <w:t>本文件由山西省市场监督管理局对标准的组织实施情况进行监督检查。</w:t>
      </w:r>
    </w:p>
    <w:p>
      <w:pPr>
        <w:pStyle w:val="56"/>
        <w:ind w:firstLine="420"/>
        <w:rPr>
          <w:rFonts w:hint="eastAsia"/>
        </w:rPr>
      </w:pPr>
      <w:r>
        <w:rPr>
          <w:rFonts w:hint="eastAsia"/>
        </w:rPr>
        <w:t>本文件由山西省农业标准化技术委员会（SXS/TC19）归口。</w:t>
      </w:r>
    </w:p>
    <w:p>
      <w:pPr>
        <w:pStyle w:val="56"/>
        <w:ind w:firstLine="420"/>
        <w:rPr>
          <w:rFonts w:hint="eastAsia"/>
        </w:rPr>
      </w:pPr>
      <w:r>
        <w:rPr>
          <w:rFonts w:hint="eastAsia"/>
        </w:rPr>
        <w:t>本文件起草单位：山西省植物保护植物检疫中心、山西农业大学植物保护学院。</w:t>
      </w:r>
    </w:p>
    <w:p>
      <w:pPr>
        <w:pStyle w:val="56"/>
        <w:ind w:firstLine="420"/>
      </w:pPr>
      <w:r>
        <w:rPr>
          <w:rFonts w:hint="eastAsia"/>
        </w:rPr>
        <w:t>本文件主要起草人：郑卫锋、张东霞、沈晓强、靳彦卿、张晨斌、赵慧琳、吕洪、秦楠、李卫伟、王丽英、安佰鲜、殷辉、任璐、刘一景、胡浩。</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A76AEB1A1BF54F1EBE79FFA94DF0A45E"/>
        </w:placeholder>
      </w:sdtPr>
      <w:sdtEndPr>
        <w:rPr>
          <w:rFonts w:ascii="Times New Roman" w:hAnsi="Times New Roman"/>
        </w:rPr>
      </w:sdtEndPr>
      <w:sdtContent>
        <w:p>
          <w:pPr>
            <w:pStyle w:val="177"/>
            <w:spacing w:before="3" w:beforeLines="1" w:after="686" w:afterLines="220"/>
            <w:rPr>
              <w:rFonts w:ascii="Times New Roman" w:hAnsi="Times New Roman"/>
            </w:rPr>
          </w:pPr>
          <w:bookmarkStart w:id="25" w:name="NEW_STAND_NAME"/>
          <w:r>
            <w:rPr>
              <w:rFonts w:ascii="Times New Roman" w:hAnsi="Times New Roman"/>
            </w:rPr>
            <w:t>燕麦主要病虫害综合防控技术规程</w:t>
          </w:r>
        </w:p>
      </w:sdtContent>
    </w:sdt>
    <w:bookmarkEnd w:id="25"/>
    <w:p>
      <w:pPr>
        <w:pStyle w:val="104"/>
        <w:spacing w:before="312" w:after="312"/>
        <w:rPr>
          <w:rFonts w:ascii="Times New Roman"/>
        </w:rPr>
      </w:pPr>
      <w:bookmarkStart w:id="26" w:name="_Toc17233325"/>
      <w:bookmarkStart w:id="27" w:name="_Toc24884211"/>
      <w:bookmarkStart w:id="28" w:name="_Toc26718930"/>
      <w:bookmarkStart w:id="29" w:name="_Toc24884218"/>
      <w:bookmarkStart w:id="30" w:name="_Toc17233333"/>
      <w:bookmarkStart w:id="31" w:name="_Toc181023454"/>
      <w:bookmarkStart w:id="32" w:name="_Toc26986771"/>
      <w:bookmarkStart w:id="33" w:name="_Toc97191423"/>
      <w:bookmarkStart w:id="34" w:name="_Toc26986530"/>
      <w:bookmarkStart w:id="35" w:name="_Toc26648465"/>
      <w:r>
        <w:rPr>
          <w:rFonts w:ascii="Times New Roman"/>
        </w:rPr>
        <w:t>范围</w:t>
      </w:r>
      <w:bookmarkEnd w:id="26"/>
      <w:bookmarkEnd w:id="27"/>
      <w:bookmarkEnd w:id="28"/>
      <w:bookmarkEnd w:id="29"/>
      <w:bookmarkEnd w:id="30"/>
      <w:bookmarkEnd w:id="31"/>
      <w:bookmarkEnd w:id="32"/>
      <w:bookmarkEnd w:id="33"/>
      <w:bookmarkEnd w:id="34"/>
      <w:bookmarkEnd w:id="35"/>
    </w:p>
    <w:p>
      <w:pPr>
        <w:pStyle w:val="56"/>
        <w:ind w:firstLine="420"/>
        <w:rPr>
          <w:rFonts w:ascii="Times New Roman"/>
        </w:rPr>
      </w:pPr>
      <w:bookmarkStart w:id="36" w:name="_Toc17233334"/>
      <w:bookmarkStart w:id="37" w:name="_Toc24884212"/>
      <w:bookmarkStart w:id="38" w:name="_Toc17233326"/>
      <w:bookmarkStart w:id="39" w:name="_Toc26648466"/>
      <w:bookmarkStart w:id="40" w:name="_Toc24884219"/>
      <w:r>
        <w:rPr>
          <w:rFonts w:ascii="Times New Roman"/>
        </w:rPr>
        <w:t>本文件规定了燕麦主要病虫害综合防控的术语和定义、防控原则、防控对象和防控技术。</w:t>
      </w:r>
    </w:p>
    <w:p>
      <w:pPr>
        <w:pStyle w:val="56"/>
        <w:ind w:firstLine="420"/>
        <w:rPr>
          <w:rFonts w:ascii="Times New Roman"/>
        </w:rPr>
      </w:pPr>
      <w:r>
        <w:rPr>
          <w:rFonts w:ascii="Times New Roman"/>
        </w:rPr>
        <w:t>本文件适用于燕麦主要病虫害的综合防控。</w:t>
      </w:r>
    </w:p>
    <w:p>
      <w:pPr>
        <w:pStyle w:val="104"/>
        <w:spacing w:before="312" w:after="312"/>
        <w:rPr>
          <w:rFonts w:ascii="Times New Roman"/>
        </w:rPr>
      </w:pPr>
      <w:bookmarkStart w:id="41" w:name="_Toc26986772"/>
      <w:bookmarkStart w:id="42" w:name="_Toc181023455"/>
      <w:bookmarkStart w:id="43" w:name="_Toc26986531"/>
      <w:bookmarkStart w:id="44" w:name="_Toc26718931"/>
      <w:bookmarkStart w:id="45" w:name="_Toc97191424"/>
      <w:r>
        <w:rPr>
          <w:rFonts w:ascii="Times New Roman"/>
        </w:rPr>
        <w:t>规范性引用文件</w:t>
      </w:r>
      <w:bookmarkEnd w:id="36"/>
      <w:bookmarkEnd w:id="37"/>
      <w:bookmarkEnd w:id="38"/>
      <w:bookmarkEnd w:id="39"/>
      <w:bookmarkEnd w:id="40"/>
      <w:bookmarkEnd w:id="41"/>
      <w:bookmarkEnd w:id="42"/>
      <w:bookmarkEnd w:id="43"/>
      <w:bookmarkEnd w:id="44"/>
      <w:bookmarkEnd w:id="45"/>
    </w:p>
    <w:sdt>
      <w:sdtPr>
        <w:rPr>
          <w:rFonts w:ascii="Times New Roman"/>
        </w:rPr>
        <w:id w:val="715848253"/>
        <w:placeholder>
          <w:docPart w:val="442FD3B12952408D842E537B764B1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ascii="Times New Roman"/>
        </w:rPr>
      </w:pPr>
      <w:r>
        <w:rPr>
          <w:rFonts w:ascii="Times New Roman"/>
        </w:rPr>
        <w:t>GB 2763 食品安全国家标准 食品中农药最大残留限量</w:t>
      </w:r>
    </w:p>
    <w:p>
      <w:pPr>
        <w:pStyle w:val="56"/>
        <w:ind w:firstLine="420"/>
        <w:rPr>
          <w:rFonts w:ascii="Times New Roman"/>
        </w:rPr>
      </w:pPr>
      <w:r>
        <w:rPr>
          <w:rFonts w:ascii="Times New Roman"/>
        </w:rPr>
        <w:t>GB 4404.4 粮食作物种子 第4部分 燕麦</w:t>
      </w:r>
    </w:p>
    <w:p>
      <w:pPr>
        <w:pStyle w:val="56"/>
        <w:ind w:firstLine="420"/>
        <w:rPr>
          <w:rFonts w:ascii="Times New Roman"/>
        </w:rPr>
      </w:pPr>
      <w:r>
        <w:rPr>
          <w:rFonts w:ascii="Times New Roman"/>
        </w:rPr>
        <w:t>GB/T 8321 （所有部分）农药合理使用准则</w:t>
      </w:r>
    </w:p>
    <w:p>
      <w:pPr>
        <w:pStyle w:val="56"/>
        <w:ind w:firstLine="420"/>
        <w:rPr>
          <w:rFonts w:ascii="Times New Roman"/>
        </w:rPr>
      </w:pPr>
      <w:r>
        <w:rPr>
          <w:rFonts w:ascii="Times New Roman"/>
        </w:rPr>
        <w:t>GB/T 24689.2 植物保护机械 杀虫灯</w:t>
      </w:r>
    </w:p>
    <w:p>
      <w:pPr>
        <w:pStyle w:val="56"/>
        <w:ind w:firstLine="420"/>
        <w:rPr>
          <w:rFonts w:ascii="Times New Roman"/>
        </w:rPr>
      </w:pPr>
      <w:r>
        <w:rPr>
          <w:rFonts w:ascii="Times New Roman"/>
        </w:rPr>
        <w:t>NY 1135 植保机械安全认证通用要求</w:t>
      </w:r>
    </w:p>
    <w:p>
      <w:pPr>
        <w:pStyle w:val="56"/>
        <w:ind w:firstLine="420"/>
        <w:rPr>
          <w:rFonts w:ascii="Times New Roman"/>
        </w:rPr>
      </w:pPr>
      <w:r>
        <w:rPr>
          <w:rFonts w:ascii="Times New Roman"/>
        </w:rPr>
        <w:t>NY/T 1276 农药安全使用规范 总则</w:t>
      </w:r>
    </w:p>
    <w:p>
      <w:pPr>
        <w:pStyle w:val="56"/>
        <w:ind w:firstLine="420"/>
        <w:rPr>
          <w:rFonts w:ascii="Times New Roman"/>
        </w:rPr>
      </w:pPr>
      <w:r>
        <w:rPr>
          <w:rFonts w:ascii="Times New Roman"/>
        </w:rPr>
        <w:t>NY/T 3213 植保无人飞机质量技术评价规范</w:t>
      </w:r>
    </w:p>
    <w:p>
      <w:pPr>
        <w:pStyle w:val="104"/>
        <w:spacing w:before="312" w:after="312"/>
        <w:rPr>
          <w:rFonts w:ascii="Times New Roman"/>
        </w:rPr>
      </w:pPr>
      <w:bookmarkStart w:id="46" w:name="_Toc97191425"/>
      <w:bookmarkStart w:id="47" w:name="_Toc181023456"/>
      <w:r>
        <w:rPr>
          <w:rFonts w:ascii="Times New Roman"/>
          <w:szCs w:val="21"/>
        </w:rPr>
        <w:t>术语和定义</w:t>
      </w:r>
      <w:bookmarkEnd w:id="46"/>
      <w:bookmarkEnd w:id="47"/>
    </w:p>
    <w:sdt>
      <w:sdtPr>
        <w:rPr>
          <w:rFonts w:ascii="Times New Roman"/>
        </w:rPr>
        <w:id w:val="-1909835108"/>
        <w:placeholder>
          <w:docPart w:val="F9A2BFA7E6B44A86B9DF7F4FA57F0F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6"/>
            <w:ind w:firstLine="420"/>
            <w:rPr>
              <w:rFonts w:ascii="Times New Roman"/>
            </w:rPr>
          </w:pPr>
          <w:bookmarkStart w:id="48" w:name="_Toc26986532"/>
          <w:bookmarkEnd w:id="48"/>
          <w:r>
            <w:rPr>
              <w:rFonts w:ascii="Times New Roman"/>
            </w:rPr>
            <w:t>下列术语和定义适用于本文件。</w:t>
          </w:r>
        </w:p>
      </w:sdtContent>
    </w:sdt>
    <w:p>
      <w:pPr>
        <w:pStyle w:val="223"/>
        <w:ind w:left="420" w:hanging="420" w:hangingChars="200"/>
        <w:rPr>
          <w:rFonts w:ascii="Times New Roman" w:eastAsia="黑体"/>
        </w:rPr>
      </w:pPr>
      <w:r>
        <w:rPr>
          <w:rFonts w:ascii="Times New Roman" w:eastAsia="黑体"/>
        </w:rPr>
        <w:br w:type="textWrapping"/>
      </w:r>
      <w:r>
        <w:rPr>
          <w:rFonts w:ascii="Times New Roman" w:eastAsia="黑体"/>
        </w:rPr>
        <w:t>两深一浅播种</w:t>
      </w:r>
    </w:p>
    <w:p>
      <w:pPr>
        <w:pStyle w:val="56"/>
        <w:ind w:firstLine="420"/>
        <w:rPr>
          <w:rFonts w:ascii="Times New Roman"/>
        </w:rPr>
      </w:pPr>
      <w:r>
        <w:rPr>
          <w:rFonts w:ascii="Times New Roman"/>
        </w:rPr>
        <w:t>指深耕、深施、浅播，秋季耕地时深耕并同步深施底肥，春季播种时探墒浅播并及时镇压耙磨。</w:t>
      </w:r>
    </w:p>
    <w:p>
      <w:pPr>
        <w:pStyle w:val="104"/>
        <w:spacing w:before="312" w:after="312"/>
        <w:rPr>
          <w:rFonts w:ascii="Times New Roman"/>
        </w:rPr>
      </w:pPr>
      <w:bookmarkStart w:id="49" w:name="_Toc181023457"/>
      <w:r>
        <w:rPr>
          <w:rFonts w:ascii="Times New Roman"/>
        </w:rPr>
        <w:t>防控原则</w:t>
      </w:r>
      <w:bookmarkEnd w:id="49"/>
    </w:p>
    <w:p>
      <w:pPr>
        <w:pStyle w:val="56"/>
        <w:ind w:firstLine="420"/>
        <w:rPr>
          <w:rFonts w:ascii="Times New Roman"/>
        </w:rPr>
      </w:pPr>
      <w:r>
        <w:rPr>
          <w:rFonts w:ascii="Times New Roman"/>
        </w:rPr>
        <w:t>坚持贯彻“预防为主，综合防治”的植保方针，切实践行“绿色植保，科学植保”理念，综合采用农业、物理、化学等措施防治病虫害，药剂使用应符合GB 2763的要求。</w:t>
      </w:r>
    </w:p>
    <w:p>
      <w:pPr>
        <w:pStyle w:val="104"/>
        <w:spacing w:before="312" w:after="312"/>
        <w:rPr>
          <w:rFonts w:ascii="Times New Roman"/>
        </w:rPr>
      </w:pPr>
      <w:bookmarkStart w:id="50" w:name="_Toc181023458"/>
      <w:r>
        <w:rPr>
          <w:rFonts w:ascii="Times New Roman"/>
        </w:rPr>
        <w:t>防控对象</w:t>
      </w:r>
      <w:bookmarkEnd w:id="50"/>
    </w:p>
    <w:p>
      <w:pPr>
        <w:pStyle w:val="105"/>
        <w:spacing w:before="156" w:after="156"/>
        <w:rPr>
          <w:rFonts w:ascii="Times New Roman"/>
        </w:rPr>
      </w:pPr>
      <w:bookmarkStart w:id="51" w:name="_Toc181023459"/>
      <w:r>
        <w:rPr>
          <w:rFonts w:ascii="Times New Roman"/>
        </w:rPr>
        <w:t>病害</w:t>
      </w:r>
      <w:bookmarkEnd w:id="51"/>
    </w:p>
    <w:p>
      <w:pPr>
        <w:pStyle w:val="56"/>
        <w:ind w:firstLine="420"/>
        <w:rPr>
          <w:rFonts w:ascii="Times New Roman"/>
        </w:rPr>
      </w:pPr>
      <w:r>
        <w:rPr>
          <w:rFonts w:ascii="Times New Roman"/>
        </w:rPr>
        <w:t>锈病、黑穗病、叶斑病、炭疽病。</w:t>
      </w:r>
    </w:p>
    <w:p>
      <w:pPr>
        <w:pStyle w:val="105"/>
        <w:spacing w:before="156" w:after="156"/>
        <w:rPr>
          <w:rFonts w:ascii="Times New Roman"/>
        </w:rPr>
      </w:pPr>
      <w:bookmarkStart w:id="52" w:name="_Toc181023460"/>
      <w:r>
        <w:rPr>
          <w:rFonts w:ascii="Times New Roman"/>
        </w:rPr>
        <w:t>虫害</w:t>
      </w:r>
      <w:bookmarkEnd w:id="52"/>
    </w:p>
    <w:p>
      <w:pPr>
        <w:pStyle w:val="56"/>
        <w:ind w:firstLine="420"/>
        <w:rPr>
          <w:rFonts w:ascii="Times New Roman"/>
        </w:rPr>
      </w:pPr>
      <w:r>
        <w:rPr>
          <w:rFonts w:ascii="Times New Roman"/>
        </w:rPr>
        <w:t>蚜虫、粘虫、双斑萤叶甲、蛴螬、金针虫、小地老虎。</w:t>
      </w:r>
    </w:p>
    <w:p>
      <w:pPr>
        <w:pStyle w:val="104"/>
        <w:spacing w:before="312" w:after="312"/>
        <w:rPr>
          <w:rFonts w:ascii="Times New Roman"/>
        </w:rPr>
      </w:pPr>
      <w:bookmarkStart w:id="53" w:name="_Toc181023461"/>
      <w:r>
        <w:rPr>
          <w:rFonts w:ascii="Times New Roman"/>
        </w:rPr>
        <w:t>防控技术</w:t>
      </w:r>
      <w:bookmarkEnd w:id="53"/>
    </w:p>
    <w:p>
      <w:pPr>
        <w:pStyle w:val="105"/>
        <w:spacing w:before="156" w:after="156"/>
        <w:rPr>
          <w:rFonts w:ascii="Times New Roman"/>
        </w:rPr>
      </w:pPr>
      <w:bookmarkStart w:id="54" w:name="_Toc181023462"/>
      <w:r>
        <w:rPr>
          <w:rFonts w:ascii="Times New Roman"/>
        </w:rPr>
        <w:t>农业防治</w:t>
      </w:r>
      <w:bookmarkEnd w:id="54"/>
    </w:p>
    <w:p>
      <w:pPr>
        <w:pStyle w:val="65"/>
        <w:spacing w:before="156" w:after="156"/>
        <w:rPr>
          <w:rFonts w:ascii="Times New Roman"/>
        </w:rPr>
      </w:pPr>
      <w:r>
        <w:rPr>
          <w:rFonts w:ascii="Times New Roman"/>
        </w:rPr>
        <w:t>品种选择</w:t>
      </w:r>
    </w:p>
    <w:p>
      <w:pPr>
        <w:pStyle w:val="56"/>
        <w:ind w:firstLine="420"/>
        <w:rPr>
          <w:rFonts w:ascii="Times New Roman"/>
        </w:rPr>
      </w:pPr>
      <w:r>
        <w:rPr>
          <w:rFonts w:ascii="Times New Roman"/>
        </w:rPr>
        <w:t>选择适应性强、抗逆性强、产量高、品质好的品种。种子质量应符合GB 4404.4要求。</w:t>
      </w:r>
    </w:p>
    <w:p>
      <w:pPr>
        <w:pStyle w:val="65"/>
        <w:spacing w:before="156" w:after="156"/>
        <w:rPr>
          <w:rFonts w:ascii="Times New Roman"/>
        </w:rPr>
      </w:pPr>
      <w:r>
        <w:rPr>
          <w:rFonts w:ascii="Times New Roman"/>
        </w:rPr>
        <w:t>清洁田园</w:t>
      </w:r>
    </w:p>
    <w:p>
      <w:pPr>
        <w:pStyle w:val="56"/>
        <w:ind w:firstLine="420"/>
        <w:rPr>
          <w:rFonts w:ascii="Times New Roman"/>
        </w:rPr>
      </w:pPr>
      <w:r>
        <w:rPr>
          <w:rFonts w:ascii="Times New Roman"/>
        </w:rPr>
        <w:t>播种前和收获后清理田间地头及周围秸杆、杂草，深翻灭茬、晒土。</w:t>
      </w:r>
    </w:p>
    <w:p>
      <w:pPr>
        <w:pStyle w:val="65"/>
        <w:spacing w:before="156" w:after="156"/>
        <w:rPr>
          <w:rFonts w:ascii="Times New Roman"/>
        </w:rPr>
      </w:pPr>
      <w:r>
        <w:rPr>
          <w:rFonts w:ascii="Times New Roman"/>
        </w:rPr>
        <w:t>整地施肥</w:t>
      </w:r>
    </w:p>
    <w:p>
      <w:pPr>
        <w:pStyle w:val="56"/>
        <w:ind w:firstLine="420"/>
        <w:rPr>
          <w:rFonts w:ascii="Times New Roman"/>
        </w:rPr>
      </w:pPr>
      <w:r>
        <w:rPr>
          <w:rFonts w:ascii="Times New Roman"/>
        </w:rPr>
        <w:t>根据土壤自身条件科学整地，粘度较重的地块可掺一些砂土改善土壤理化性质。土壤翻耕前选用农家堆肥或复合肥作为主要基肥，确保田土壤肥力充足、均匀，每667 m2使用农家肥1000 kg～3000 kg，复合肥20 kg～50 kg；生长期可在分蘖到拔节期，每667 m2追施尿素一次4 kg～5 kg；在开花成熟期选用96.5%磷酸二氢钾0.25 kg，对水50 kg进行叶面喷洒。</w:t>
      </w:r>
    </w:p>
    <w:p>
      <w:pPr>
        <w:pStyle w:val="65"/>
        <w:spacing w:before="156" w:after="156"/>
        <w:rPr>
          <w:rFonts w:ascii="Times New Roman"/>
        </w:rPr>
      </w:pPr>
      <w:r>
        <w:rPr>
          <w:rFonts w:ascii="Times New Roman"/>
        </w:rPr>
        <w:t>适期播种</w:t>
      </w:r>
    </w:p>
    <w:p>
      <w:pPr>
        <w:pStyle w:val="56"/>
        <w:ind w:firstLine="420"/>
        <w:rPr>
          <w:rFonts w:ascii="Times New Roman"/>
        </w:rPr>
      </w:pPr>
      <w:r>
        <w:rPr>
          <w:rFonts w:ascii="Times New Roman"/>
        </w:rPr>
        <w:t>一般土壤地表10 cm土层解冻即可播种，可保证燕麦生长环境适宜，满足高产栽培基本条件。</w:t>
      </w:r>
    </w:p>
    <w:p>
      <w:pPr>
        <w:pStyle w:val="65"/>
        <w:spacing w:before="156" w:after="156"/>
        <w:rPr>
          <w:rFonts w:ascii="Times New Roman"/>
        </w:rPr>
      </w:pPr>
      <w:r>
        <w:rPr>
          <w:rFonts w:ascii="Times New Roman"/>
        </w:rPr>
        <w:t>合理轮作</w:t>
      </w:r>
    </w:p>
    <w:p>
      <w:pPr>
        <w:pStyle w:val="56"/>
        <w:ind w:firstLine="420"/>
        <w:rPr>
          <w:rFonts w:ascii="Times New Roman"/>
        </w:rPr>
      </w:pPr>
      <w:r>
        <w:rPr>
          <w:rFonts w:ascii="Times New Roman"/>
        </w:rPr>
        <w:t>采用两深一浅播种、地膜旱地穴播等健康栽培模式。定期轮作倒茬，减轻燕麦病害的发生。轮作模式可选择：豌豆—燕麦—马铃薯—玉米—胡麻五年轮作模式，或马铃薯（豌豆）—燕麦—胡麻三年轮作等模式。</w:t>
      </w:r>
    </w:p>
    <w:p>
      <w:pPr>
        <w:pStyle w:val="65"/>
        <w:spacing w:before="156" w:after="156"/>
        <w:rPr>
          <w:rFonts w:ascii="Times New Roman"/>
        </w:rPr>
      </w:pPr>
      <w:r>
        <w:rPr>
          <w:rFonts w:ascii="Times New Roman"/>
        </w:rPr>
        <w:t>中耕除草</w:t>
      </w:r>
    </w:p>
    <w:p>
      <w:pPr>
        <w:pStyle w:val="56"/>
        <w:ind w:firstLine="420"/>
        <w:rPr>
          <w:rFonts w:ascii="Times New Roman"/>
        </w:rPr>
      </w:pPr>
      <w:r>
        <w:rPr>
          <w:rFonts w:ascii="Times New Roman"/>
        </w:rPr>
        <w:t>在3叶1心期和5叶1心期及时中耕除草。</w:t>
      </w:r>
    </w:p>
    <w:p>
      <w:pPr>
        <w:pStyle w:val="105"/>
        <w:spacing w:before="156" w:after="156"/>
        <w:rPr>
          <w:rFonts w:ascii="Times New Roman"/>
        </w:rPr>
      </w:pPr>
      <w:bookmarkStart w:id="55" w:name="_Toc181023463"/>
      <w:r>
        <w:rPr>
          <w:rFonts w:ascii="Times New Roman"/>
        </w:rPr>
        <w:t>物理防治</w:t>
      </w:r>
      <w:bookmarkEnd w:id="55"/>
    </w:p>
    <w:p>
      <w:pPr>
        <w:pStyle w:val="65"/>
        <w:spacing w:before="156" w:after="156"/>
        <w:rPr>
          <w:rFonts w:ascii="Times New Roman"/>
        </w:rPr>
      </w:pPr>
      <w:r>
        <w:rPr>
          <w:rFonts w:ascii="Times New Roman"/>
        </w:rPr>
        <w:t>人工拔除</w:t>
      </w:r>
    </w:p>
    <w:p>
      <w:pPr>
        <w:pStyle w:val="56"/>
        <w:ind w:firstLine="420"/>
        <w:rPr>
          <w:rFonts w:ascii="Times New Roman"/>
        </w:rPr>
      </w:pPr>
      <w:r>
        <w:rPr>
          <w:rFonts w:ascii="Times New Roman"/>
        </w:rPr>
        <w:t>早期发现各类病害的发病植株及时拔除，携至田外集中烧毁，可有效阻断病害的传播流行。</w:t>
      </w:r>
    </w:p>
    <w:p>
      <w:pPr>
        <w:pStyle w:val="65"/>
        <w:spacing w:before="156" w:after="156"/>
        <w:rPr>
          <w:rFonts w:ascii="Times New Roman"/>
        </w:rPr>
      </w:pPr>
      <w:r>
        <w:rPr>
          <w:rFonts w:ascii="Times New Roman"/>
        </w:rPr>
        <w:t>糖醋液诱杀</w:t>
      </w:r>
    </w:p>
    <w:p>
      <w:pPr>
        <w:pStyle w:val="56"/>
        <w:ind w:firstLine="420"/>
        <w:rPr>
          <w:rFonts w:ascii="Times New Roman"/>
        </w:rPr>
      </w:pPr>
      <w:r>
        <w:rPr>
          <w:rFonts w:ascii="Times New Roman"/>
        </w:rPr>
        <w:t>糖醋水比例为3：4：2，制成糖醋水放入水盆中，盆高出作物30 cm～35 cm，每667 ㎡放置2盆，可诱杀粘虫、小地老虎等多种鳞翅目害虫。</w:t>
      </w:r>
    </w:p>
    <w:p>
      <w:pPr>
        <w:pStyle w:val="65"/>
        <w:spacing w:before="156" w:after="156"/>
        <w:rPr>
          <w:rFonts w:ascii="Times New Roman"/>
        </w:rPr>
      </w:pPr>
      <w:r>
        <w:rPr>
          <w:rFonts w:ascii="Times New Roman"/>
        </w:rPr>
        <w:t>杀虫灯诱杀</w:t>
      </w:r>
    </w:p>
    <w:p>
      <w:pPr>
        <w:pStyle w:val="56"/>
        <w:ind w:firstLine="420"/>
        <w:rPr>
          <w:rFonts w:ascii="Times New Roman"/>
        </w:rPr>
      </w:pPr>
      <w:r>
        <w:rPr>
          <w:rFonts w:ascii="Times New Roman"/>
        </w:rPr>
        <w:t>田间安装频振式杀虫灯，诱杀粘虫、草地螟、小地老虎、金龟子等害虫成虫，杀虫灯应符合GB/T 24689.2要求。</w:t>
      </w:r>
    </w:p>
    <w:p>
      <w:pPr>
        <w:pStyle w:val="105"/>
        <w:spacing w:before="156" w:after="156"/>
        <w:rPr>
          <w:rFonts w:ascii="Times New Roman"/>
        </w:rPr>
      </w:pPr>
      <w:bookmarkStart w:id="56" w:name="_Toc181023464"/>
      <w:r>
        <w:rPr>
          <w:rFonts w:ascii="Times New Roman"/>
        </w:rPr>
        <w:t>生物防治</w:t>
      </w:r>
      <w:bookmarkEnd w:id="56"/>
    </w:p>
    <w:p>
      <w:pPr>
        <w:pStyle w:val="56"/>
        <w:ind w:firstLine="420"/>
        <w:rPr>
          <w:rFonts w:ascii="Times New Roman"/>
        </w:rPr>
      </w:pPr>
      <w:r>
        <w:rPr>
          <w:rFonts w:ascii="Times New Roman"/>
        </w:rPr>
        <w:t>土壤处理和拌种可使用金龟子绿僵菌CQMa421防治蛴螬、金针虫、小地老虎等地下害虫，兼治蚜虫。苗期施用枯草芽孢杆菌、多粘类芽孢杆菌等微生物菌剂可防治锈病、黑穗病、炭疽病等。</w:t>
      </w:r>
    </w:p>
    <w:p>
      <w:pPr>
        <w:pStyle w:val="105"/>
        <w:spacing w:before="156" w:after="156"/>
        <w:rPr>
          <w:rFonts w:ascii="Times New Roman"/>
        </w:rPr>
      </w:pPr>
      <w:bookmarkStart w:id="57" w:name="_Toc181023465"/>
      <w:r>
        <w:rPr>
          <w:rFonts w:ascii="Times New Roman"/>
        </w:rPr>
        <w:t>化学防治</w:t>
      </w:r>
      <w:bookmarkEnd w:id="57"/>
    </w:p>
    <w:p>
      <w:pPr>
        <w:pStyle w:val="65"/>
        <w:spacing w:before="156" w:after="156"/>
        <w:rPr>
          <w:rFonts w:ascii="Times New Roman"/>
        </w:rPr>
      </w:pPr>
      <w:r>
        <w:rPr>
          <w:rFonts w:ascii="Times New Roman"/>
        </w:rPr>
        <w:t>病害防治</w:t>
      </w:r>
    </w:p>
    <w:p>
      <w:pPr>
        <w:pStyle w:val="56"/>
        <w:ind w:firstLine="420"/>
        <w:rPr>
          <w:rFonts w:ascii="Times New Roman"/>
        </w:rPr>
      </w:pPr>
      <w:r>
        <w:rPr>
          <w:rFonts w:ascii="Times New Roman"/>
        </w:rPr>
        <w:t>针对燕麦锈病、叶斑病，在发病初期施用25%丙环唑乳油32g。针对燕麦红叶病，主要通过防治蚜虫来预防。</w:t>
      </w:r>
    </w:p>
    <w:p>
      <w:pPr>
        <w:pStyle w:val="65"/>
        <w:spacing w:before="156" w:after="156"/>
        <w:rPr>
          <w:rFonts w:ascii="Times New Roman"/>
        </w:rPr>
      </w:pPr>
      <w:r>
        <w:rPr>
          <w:rFonts w:ascii="Times New Roman"/>
        </w:rPr>
        <w:t>虫害防治</w:t>
      </w:r>
    </w:p>
    <w:p>
      <w:pPr>
        <w:pStyle w:val="56"/>
        <w:ind w:firstLine="420"/>
        <w:rPr>
          <w:rFonts w:ascii="Times New Roman"/>
        </w:rPr>
      </w:pPr>
      <w:r>
        <w:rPr>
          <w:rFonts w:ascii="Times New Roman"/>
        </w:rPr>
        <w:t>蚜虫可施用吡虫啉或吡蚜酮喷雾防治，粘虫幼虫3龄前和双斑萤叶甲发生初期，施用甲氨基阿维菌素苯甲酸盐或氯虫苯甲酰胺喷雾防治。生物防治和化学防治药剂用量和使用方法详见表B.1燕麦主要病虫害推荐用药。</w:t>
      </w:r>
    </w:p>
    <w:p>
      <w:pPr>
        <w:pStyle w:val="65"/>
        <w:spacing w:before="156" w:after="156"/>
        <w:rPr>
          <w:rFonts w:ascii="Times New Roman"/>
        </w:rPr>
      </w:pPr>
      <w:r>
        <w:rPr>
          <w:rFonts w:ascii="Times New Roman"/>
        </w:rPr>
        <w:t>施药器械</w:t>
      </w:r>
    </w:p>
    <w:p>
      <w:pPr>
        <w:pStyle w:val="56"/>
        <w:ind w:firstLine="420"/>
        <w:rPr>
          <w:rFonts w:ascii="Times New Roman"/>
        </w:rPr>
      </w:pPr>
      <w:r>
        <w:rPr>
          <w:rFonts w:ascii="Times New Roman"/>
        </w:rPr>
        <w:t>综合考虑作物生长、防治对象、防治规模等情况，小面积防治可选择背负式静电喷雾器、电动喷雾器等，大规模防治可选择植保无人机。选用的施药器械应按照NY 1135和NY/T 3213的规定执行。</w:t>
      </w:r>
    </w:p>
    <w:p>
      <w:pPr>
        <w:pStyle w:val="56"/>
        <w:ind w:firstLine="420"/>
        <w:rPr>
          <w:rFonts w:ascii="Times New Roman"/>
        </w:rPr>
      </w:pPr>
    </w:p>
    <w:p>
      <w:pPr>
        <w:pStyle w:val="56"/>
        <w:ind w:firstLine="420"/>
        <w:rPr>
          <w:rFonts w:ascii="Times New Roman"/>
        </w:rPr>
        <w:sectPr>
          <w:pgSz w:w="11906" w:h="16838"/>
          <w:pgMar w:top="1928" w:right="1134" w:bottom="1134" w:left="1134" w:header="1418" w:footer="1134" w:gutter="284"/>
          <w:pgNumType w:start="1"/>
          <w:cols w:space="425" w:num="1"/>
          <w:formProt w:val="0"/>
          <w:docGrid w:type="lines" w:linePitch="312" w:charSpace="0"/>
        </w:sectPr>
      </w:pPr>
    </w:p>
    <w:bookmarkEnd w:id="24"/>
    <w:p>
      <w:pPr>
        <w:pStyle w:val="198"/>
        <w:rPr>
          <w:rFonts w:ascii="Times New Roman" w:hAnsi="Times New Roman"/>
        </w:rPr>
      </w:pPr>
      <w:bookmarkStart w:id="58" w:name="BookMark5"/>
    </w:p>
    <w:p>
      <w:pPr>
        <w:pStyle w:val="199"/>
        <w:rPr>
          <w:rFonts w:ascii="Times New Roman"/>
        </w:rPr>
      </w:pPr>
    </w:p>
    <w:p>
      <w:pPr>
        <w:pStyle w:val="76"/>
        <w:spacing w:after="156"/>
        <w:rPr>
          <w:rFonts w:ascii="Times New Roman"/>
        </w:rPr>
      </w:pPr>
      <w:r>
        <w:rPr>
          <w:rFonts w:ascii="Times New Roman"/>
        </w:rPr>
        <w:br w:type="textWrapping"/>
      </w:r>
      <w:bookmarkStart w:id="59" w:name="_Toc181023466"/>
      <w:r>
        <w:rPr>
          <w:rFonts w:ascii="Times New Roman"/>
        </w:rPr>
        <w:t>（资料性）</w:t>
      </w:r>
      <w:r>
        <w:rPr>
          <w:rFonts w:ascii="Times New Roman"/>
        </w:rPr>
        <w:br w:type="textWrapping"/>
      </w:r>
      <w:r>
        <w:rPr>
          <w:rFonts w:ascii="Times New Roman"/>
        </w:rPr>
        <w:t>燕麦主要病害田间症状识别</w:t>
      </w:r>
      <w:bookmarkEnd w:id="59"/>
    </w:p>
    <w:p>
      <w:pPr>
        <w:pStyle w:val="56"/>
        <w:ind w:firstLine="420"/>
        <w:rPr>
          <w:rFonts w:ascii="Times New Roman"/>
        </w:rPr>
      </w:pPr>
      <w:r>
        <w:rPr>
          <w:rFonts w:ascii="Times New Roman"/>
        </w:rPr>
        <w:t>燕麦主要病害田间症状识别见表A.1</w:t>
      </w:r>
    </w:p>
    <w:p>
      <w:pPr>
        <w:pStyle w:val="77"/>
        <w:spacing w:before="156" w:after="156"/>
        <w:rPr>
          <w:rFonts w:ascii="Times New Roman"/>
        </w:rPr>
      </w:pPr>
      <w:r>
        <w:rPr>
          <w:rFonts w:ascii="Times New Roman"/>
        </w:rPr>
        <w:t>燕麦主要病害田间症状识别</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1134"/>
        <w:gridCol w:w="1134"/>
        <w:gridCol w:w="650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7"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序号</w:t>
            </w:r>
          </w:p>
        </w:tc>
        <w:tc>
          <w:tcPr>
            <w:tcW w:w="2268" w:type="dxa"/>
            <w:gridSpan w:val="2"/>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病害名称</w:t>
            </w:r>
          </w:p>
        </w:tc>
        <w:tc>
          <w:tcPr>
            <w:tcW w:w="6509"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田间症状识别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Merge w:val="restart"/>
            <w:tcBorders>
              <w:top w:val="single" w:color="auto" w:sz="8" w:space="0"/>
            </w:tcBorders>
            <w:shd w:val="clear" w:color="auto" w:fill="auto"/>
            <w:vAlign w:val="center"/>
          </w:tcPr>
          <w:p>
            <w:pPr>
              <w:pStyle w:val="178"/>
              <w:rPr>
                <w:rFonts w:ascii="Times New Roman"/>
              </w:rPr>
            </w:pPr>
            <w:r>
              <w:rPr>
                <w:rFonts w:ascii="Times New Roman"/>
              </w:rPr>
              <w:t>1</w:t>
            </w:r>
          </w:p>
        </w:tc>
        <w:tc>
          <w:tcPr>
            <w:tcW w:w="1134" w:type="dxa"/>
            <w:vMerge w:val="restart"/>
            <w:tcBorders>
              <w:top w:val="single" w:color="auto" w:sz="8" w:space="0"/>
            </w:tcBorders>
            <w:shd w:val="clear" w:color="auto" w:fill="auto"/>
            <w:vAlign w:val="center"/>
          </w:tcPr>
          <w:p>
            <w:pPr>
              <w:pStyle w:val="178"/>
              <w:rPr>
                <w:rFonts w:ascii="Times New Roman"/>
              </w:rPr>
            </w:pPr>
            <w:r>
              <w:rPr>
                <w:rFonts w:ascii="Times New Roman"/>
              </w:rPr>
              <w:t>燕麦黑穗病</w:t>
            </w:r>
          </w:p>
        </w:tc>
        <w:tc>
          <w:tcPr>
            <w:tcW w:w="1134" w:type="dxa"/>
            <w:tcBorders>
              <w:top w:val="single" w:color="auto" w:sz="8" w:space="0"/>
            </w:tcBorders>
            <w:shd w:val="clear" w:color="auto" w:fill="auto"/>
            <w:vAlign w:val="center"/>
          </w:tcPr>
          <w:p>
            <w:pPr>
              <w:pStyle w:val="178"/>
              <w:rPr>
                <w:rFonts w:ascii="Times New Roman"/>
              </w:rPr>
            </w:pPr>
            <w:r>
              <w:rPr>
                <w:rFonts w:ascii="Times New Roman"/>
              </w:rPr>
              <w:t>坚黑穗病</w:t>
            </w:r>
          </w:p>
        </w:tc>
        <w:tc>
          <w:tcPr>
            <w:tcW w:w="6509" w:type="dxa"/>
            <w:tcBorders>
              <w:top w:val="single" w:color="auto" w:sz="8" w:space="0"/>
            </w:tcBorders>
            <w:shd w:val="clear" w:color="auto" w:fill="auto"/>
            <w:vAlign w:val="center"/>
          </w:tcPr>
          <w:p>
            <w:pPr>
              <w:pStyle w:val="178"/>
              <w:ind w:firstLine="360" w:firstLineChars="200"/>
              <w:jc w:val="left"/>
              <w:rPr>
                <w:rFonts w:ascii="Times New Roman"/>
              </w:rPr>
            </w:pPr>
            <w:r>
              <w:rPr>
                <w:rFonts w:ascii="Times New Roman"/>
              </w:rPr>
              <w:t>病菌从幼芽侵入，主要显症在抽穗期。染病籽粒的胚和颖片被毁坏，内部充满黑褐色粉末状厚垣孢子，外面有一层不易破裂的灰膜。病穗不结实，直立不低垂，厚垣孢子凝集成硬块不易分散，一直到收获时仍呈硬块状不易散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Merge w:val="continue"/>
            <w:shd w:val="clear" w:color="auto" w:fill="auto"/>
            <w:vAlign w:val="center"/>
          </w:tcPr>
          <w:p>
            <w:pPr>
              <w:pStyle w:val="178"/>
              <w:rPr>
                <w:rFonts w:ascii="Times New Roman"/>
              </w:rPr>
            </w:pPr>
          </w:p>
        </w:tc>
        <w:tc>
          <w:tcPr>
            <w:tcW w:w="1134" w:type="dxa"/>
            <w:vMerge w:val="continue"/>
            <w:shd w:val="clear" w:color="auto" w:fill="auto"/>
            <w:vAlign w:val="center"/>
          </w:tcPr>
          <w:p>
            <w:pPr>
              <w:pStyle w:val="178"/>
              <w:rPr>
                <w:rFonts w:ascii="Times New Roman"/>
              </w:rPr>
            </w:pPr>
          </w:p>
        </w:tc>
        <w:tc>
          <w:tcPr>
            <w:tcW w:w="1134" w:type="dxa"/>
            <w:shd w:val="clear" w:color="auto" w:fill="auto"/>
            <w:vAlign w:val="center"/>
          </w:tcPr>
          <w:p>
            <w:pPr>
              <w:pStyle w:val="178"/>
              <w:rPr>
                <w:rFonts w:ascii="Times New Roman"/>
              </w:rPr>
            </w:pPr>
            <w:r>
              <w:rPr>
                <w:rFonts w:ascii="Times New Roman"/>
              </w:rPr>
              <w:t>散黑穗病</w:t>
            </w:r>
          </w:p>
        </w:tc>
        <w:tc>
          <w:tcPr>
            <w:tcW w:w="6509" w:type="dxa"/>
            <w:shd w:val="clear" w:color="auto" w:fill="auto"/>
            <w:vAlign w:val="center"/>
          </w:tcPr>
          <w:p>
            <w:pPr>
              <w:pStyle w:val="178"/>
              <w:ind w:firstLine="360" w:firstLineChars="200"/>
              <w:jc w:val="left"/>
              <w:rPr>
                <w:rFonts w:ascii="Times New Roman"/>
              </w:rPr>
            </w:pPr>
            <w:r>
              <w:rPr>
                <w:rFonts w:ascii="Times New Roman"/>
              </w:rPr>
              <w:t>病株明显较矮小，抽穗期提前。大部分整穗发病，个别穗中、下部籽粒发病。病状始见于花期，病穗子房和颖片破坏，病穗籽粒充满黑粉，外包一层灰膜，后期灰色膜破裂，散出黑褐色粉末，仅余下穗轴。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restart"/>
            <w:shd w:val="clear" w:color="auto" w:fill="auto"/>
            <w:vAlign w:val="center"/>
          </w:tcPr>
          <w:p>
            <w:pPr>
              <w:pStyle w:val="178"/>
              <w:rPr>
                <w:rFonts w:ascii="Times New Roman"/>
              </w:rPr>
            </w:pPr>
            <w:r>
              <w:rPr>
                <w:rFonts w:ascii="Times New Roman"/>
              </w:rPr>
              <w:t>2</w:t>
            </w:r>
          </w:p>
        </w:tc>
        <w:tc>
          <w:tcPr>
            <w:tcW w:w="1134" w:type="dxa"/>
            <w:vMerge w:val="restart"/>
            <w:shd w:val="clear" w:color="auto" w:fill="auto"/>
            <w:vAlign w:val="center"/>
          </w:tcPr>
          <w:p>
            <w:pPr>
              <w:pStyle w:val="178"/>
              <w:rPr>
                <w:rFonts w:ascii="Times New Roman"/>
              </w:rPr>
            </w:pPr>
            <w:r>
              <w:rPr>
                <w:rFonts w:ascii="Times New Roman"/>
              </w:rPr>
              <w:t>燕麦锈病</w:t>
            </w:r>
          </w:p>
        </w:tc>
        <w:tc>
          <w:tcPr>
            <w:tcW w:w="1134" w:type="dxa"/>
            <w:shd w:val="clear" w:color="auto" w:fill="auto"/>
            <w:vAlign w:val="center"/>
          </w:tcPr>
          <w:p>
            <w:pPr>
              <w:pStyle w:val="178"/>
              <w:rPr>
                <w:rFonts w:ascii="Times New Roman"/>
              </w:rPr>
            </w:pPr>
            <w:r>
              <w:rPr>
                <w:rFonts w:ascii="Times New Roman"/>
              </w:rPr>
              <w:t>燕麦叶锈病</w:t>
            </w:r>
          </w:p>
        </w:tc>
        <w:tc>
          <w:tcPr>
            <w:tcW w:w="6509" w:type="dxa"/>
            <w:shd w:val="clear" w:color="auto" w:fill="auto"/>
            <w:vAlign w:val="center"/>
          </w:tcPr>
          <w:p>
            <w:pPr>
              <w:pStyle w:val="178"/>
              <w:ind w:firstLine="360" w:firstLineChars="200"/>
              <w:jc w:val="left"/>
              <w:rPr>
                <w:rFonts w:ascii="Times New Roman"/>
              </w:rPr>
            </w:pPr>
            <w:r>
              <w:rPr>
                <w:rFonts w:ascii="Times New Roman"/>
              </w:rPr>
              <w:t>也称冠锈病，主要发生在叶片、叶鞘和茎杆上，发病初期叶片表面产生橙黄色小斑，椭圆形，并逐渐呈稍隆起状。病末期在夏孢子堆周围长出一圈黑色的斑点。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Merge w:val="continue"/>
            <w:shd w:val="clear" w:color="auto" w:fill="auto"/>
            <w:vAlign w:val="center"/>
          </w:tcPr>
          <w:p>
            <w:pPr>
              <w:pStyle w:val="178"/>
              <w:rPr>
                <w:rFonts w:ascii="Times New Roman"/>
              </w:rPr>
            </w:pPr>
          </w:p>
        </w:tc>
        <w:tc>
          <w:tcPr>
            <w:tcW w:w="1134" w:type="dxa"/>
            <w:vMerge w:val="continue"/>
            <w:shd w:val="clear" w:color="auto" w:fill="auto"/>
            <w:vAlign w:val="center"/>
          </w:tcPr>
          <w:p>
            <w:pPr>
              <w:pStyle w:val="178"/>
              <w:rPr>
                <w:rFonts w:ascii="Times New Roman"/>
              </w:rPr>
            </w:pPr>
          </w:p>
        </w:tc>
        <w:tc>
          <w:tcPr>
            <w:tcW w:w="1134" w:type="dxa"/>
            <w:shd w:val="clear" w:color="auto" w:fill="auto"/>
            <w:vAlign w:val="center"/>
          </w:tcPr>
          <w:p>
            <w:pPr>
              <w:pStyle w:val="178"/>
              <w:rPr>
                <w:rFonts w:ascii="Times New Roman"/>
              </w:rPr>
            </w:pPr>
            <w:r>
              <w:rPr>
                <w:rFonts w:ascii="Times New Roman"/>
              </w:rPr>
              <w:t>燕麦杆锈病</w:t>
            </w:r>
          </w:p>
        </w:tc>
        <w:tc>
          <w:tcPr>
            <w:tcW w:w="6509" w:type="dxa"/>
            <w:shd w:val="clear" w:color="auto" w:fill="auto"/>
            <w:vAlign w:val="center"/>
          </w:tcPr>
          <w:p>
            <w:pPr>
              <w:pStyle w:val="178"/>
              <w:ind w:firstLine="360" w:firstLineChars="200"/>
              <w:jc w:val="left"/>
              <w:rPr>
                <w:rFonts w:ascii="Times New Roman"/>
              </w:rPr>
            </w:pPr>
            <w:r>
              <w:rPr>
                <w:rFonts w:ascii="Times New Roman"/>
              </w:rPr>
              <w:t>主要为害茎杆，在叶片、叶鞘甚至穗部也有发生。在侵染部位产生褐黄色或褐红色的椭圆形至狭长斑，隆起，发病后期出现黑褐色、近黑色，粉末状冬孢子堆，发病重时茎杆易折断，籽粒色深暗不饱满。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78"/>
              <w:rPr>
                <w:rFonts w:ascii="Times New Roman"/>
              </w:rPr>
            </w:pPr>
            <w:r>
              <w:rPr>
                <w:rFonts w:ascii="Times New Roman"/>
              </w:rPr>
              <w:t>3</w:t>
            </w:r>
          </w:p>
        </w:tc>
        <w:tc>
          <w:tcPr>
            <w:tcW w:w="2268" w:type="dxa"/>
            <w:gridSpan w:val="2"/>
            <w:shd w:val="clear" w:color="auto" w:fill="auto"/>
            <w:vAlign w:val="center"/>
          </w:tcPr>
          <w:p>
            <w:pPr>
              <w:pStyle w:val="178"/>
              <w:rPr>
                <w:rFonts w:ascii="Times New Roman"/>
              </w:rPr>
            </w:pPr>
            <w:r>
              <w:rPr>
                <w:rFonts w:ascii="Times New Roman"/>
              </w:rPr>
              <w:t>燕麦叶斑病</w:t>
            </w:r>
          </w:p>
        </w:tc>
        <w:tc>
          <w:tcPr>
            <w:tcW w:w="6509" w:type="dxa"/>
            <w:shd w:val="clear" w:color="auto" w:fill="auto"/>
            <w:vAlign w:val="center"/>
          </w:tcPr>
          <w:p>
            <w:pPr>
              <w:pStyle w:val="178"/>
              <w:ind w:firstLine="360" w:firstLineChars="200"/>
              <w:jc w:val="left"/>
              <w:rPr>
                <w:rFonts w:ascii="Times New Roman"/>
              </w:rPr>
            </w:pPr>
            <w:r>
              <w:rPr>
                <w:rFonts w:ascii="Times New Roman"/>
              </w:rPr>
              <w:t>多发于叶片和叶鞘部位，严重时叶片枯死。初期病斑呈灰绿色水浸状，后逐渐转变为浅褐色至红褐色，边缘紫色，病斑周围有一圈黄色晕圈，后期病斑继续扩展呈较大的不规则形条斑。发生较重时多个病斑融合成片，从叶尖向下干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78"/>
              <w:rPr>
                <w:rFonts w:ascii="Times New Roman"/>
              </w:rPr>
            </w:pPr>
            <w:r>
              <w:rPr>
                <w:rFonts w:ascii="Times New Roman"/>
              </w:rPr>
              <w:t>4</w:t>
            </w:r>
          </w:p>
        </w:tc>
        <w:tc>
          <w:tcPr>
            <w:tcW w:w="2268" w:type="dxa"/>
            <w:gridSpan w:val="2"/>
            <w:shd w:val="clear" w:color="auto" w:fill="auto"/>
            <w:vAlign w:val="center"/>
          </w:tcPr>
          <w:p>
            <w:pPr>
              <w:pStyle w:val="178"/>
              <w:rPr>
                <w:rFonts w:ascii="Times New Roman"/>
              </w:rPr>
            </w:pPr>
            <w:r>
              <w:rPr>
                <w:rFonts w:ascii="Times New Roman"/>
              </w:rPr>
              <w:t>燕麦炭疽病</w:t>
            </w:r>
          </w:p>
        </w:tc>
        <w:tc>
          <w:tcPr>
            <w:tcW w:w="6509" w:type="dxa"/>
            <w:shd w:val="clear" w:color="auto" w:fill="auto"/>
            <w:vAlign w:val="center"/>
          </w:tcPr>
          <w:p>
            <w:pPr>
              <w:pStyle w:val="178"/>
              <w:ind w:firstLine="360" w:firstLineChars="200"/>
              <w:jc w:val="left"/>
              <w:rPr>
                <w:rFonts w:ascii="Times New Roman"/>
              </w:rPr>
            </w:pPr>
            <w:r>
              <w:rPr>
                <w:rFonts w:ascii="Times New Roman"/>
              </w:rPr>
              <w:t>该病多在燕麦近成熟时发生，为害叶片、下部叶鞘及茎基部甚至穗部。叶片染病初呈浅黄色水渍状，后呈梭形至近梭形红褐色病斑，中央干枯至撕裂状，病斑两面可见多数小黑点。叶鞘和茎基部染病产生类似的症状。发病严重时，病斑相互融合，导致叶片快速枯死。</w:t>
            </w:r>
          </w:p>
        </w:tc>
      </w:tr>
    </w:tbl>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sectPr>
          <w:pgSz w:w="11906" w:h="16838"/>
          <w:pgMar w:top="1928" w:right="1134" w:bottom="1134" w:left="1134" w:header="1418" w:footer="1134" w:gutter="284"/>
          <w:cols w:space="425" w:num="1"/>
          <w:formProt w:val="0"/>
          <w:docGrid w:type="lines" w:linePitch="312" w:charSpace="0"/>
        </w:sectPr>
      </w:pPr>
    </w:p>
    <w:p>
      <w:pPr>
        <w:pStyle w:val="198"/>
        <w:rPr>
          <w:rFonts w:ascii="Times New Roman" w:hAnsi="Times New Roman"/>
        </w:rPr>
      </w:pPr>
    </w:p>
    <w:p>
      <w:pPr>
        <w:pStyle w:val="199"/>
        <w:rPr>
          <w:rFonts w:ascii="Times New Roman"/>
        </w:rPr>
      </w:pPr>
    </w:p>
    <w:p>
      <w:pPr>
        <w:pStyle w:val="76"/>
        <w:spacing w:after="156"/>
        <w:rPr>
          <w:rFonts w:ascii="Times New Roman"/>
        </w:rPr>
      </w:pPr>
      <w:r>
        <w:rPr>
          <w:rFonts w:ascii="Times New Roman"/>
        </w:rPr>
        <w:br w:type="textWrapping"/>
      </w:r>
      <w:bookmarkStart w:id="60" w:name="_Toc181023467"/>
      <w:r>
        <w:rPr>
          <w:rFonts w:ascii="Times New Roman"/>
        </w:rPr>
        <w:t>（规范性）</w:t>
      </w:r>
      <w:r>
        <w:rPr>
          <w:rFonts w:ascii="Times New Roman"/>
        </w:rPr>
        <w:br w:type="textWrapping"/>
      </w:r>
      <w:r>
        <w:rPr>
          <w:rFonts w:ascii="Times New Roman"/>
        </w:rPr>
        <w:t>燕麦主要病虫害推荐用药</w:t>
      </w:r>
      <w:bookmarkEnd w:id="60"/>
    </w:p>
    <w:p>
      <w:pPr>
        <w:pStyle w:val="56"/>
        <w:ind w:firstLine="420"/>
        <w:rPr>
          <w:rFonts w:ascii="Times New Roman"/>
        </w:rPr>
      </w:pPr>
      <w:r>
        <w:rPr>
          <w:rFonts w:ascii="Times New Roman"/>
        </w:rPr>
        <w:t>燕麦主要病虫害推荐用药B.1</w:t>
      </w:r>
    </w:p>
    <w:p>
      <w:pPr>
        <w:pStyle w:val="77"/>
        <w:spacing w:before="156" w:after="156"/>
        <w:rPr>
          <w:rFonts w:ascii="Times New Roman"/>
        </w:rPr>
      </w:pPr>
      <w:r>
        <w:rPr>
          <w:rFonts w:ascii="Times New Roman"/>
        </w:rPr>
        <w:t>燕麦主要病虫害推荐用药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3034"/>
        <w:gridCol w:w="1644"/>
        <w:gridCol w:w="2090"/>
        <w:gridCol w:w="18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序号</w:t>
            </w:r>
          </w:p>
        </w:tc>
        <w:tc>
          <w:tcPr>
            <w:tcW w:w="3034"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推荐用药</w:t>
            </w:r>
          </w:p>
        </w:tc>
        <w:tc>
          <w:tcPr>
            <w:tcW w:w="1644"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防治对象</w:t>
            </w:r>
          </w:p>
        </w:tc>
        <w:tc>
          <w:tcPr>
            <w:tcW w:w="209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使用剂量</w:t>
            </w:r>
          </w:p>
        </w:tc>
        <w:tc>
          <w:tcPr>
            <w:tcW w:w="1867"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使用方法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Borders>
              <w:top w:val="single" w:color="auto" w:sz="8" w:space="0"/>
            </w:tcBorders>
            <w:shd w:val="clear" w:color="auto" w:fill="auto"/>
            <w:vAlign w:val="center"/>
          </w:tcPr>
          <w:p>
            <w:pPr>
              <w:pStyle w:val="178"/>
              <w:rPr>
                <w:rFonts w:ascii="Times New Roman"/>
              </w:rPr>
            </w:pPr>
            <w:r>
              <w:rPr>
                <w:rFonts w:ascii="Times New Roman"/>
              </w:rPr>
              <w:t>1</w:t>
            </w:r>
          </w:p>
        </w:tc>
        <w:tc>
          <w:tcPr>
            <w:tcW w:w="3034" w:type="dxa"/>
            <w:tcBorders>
              <w:top w:val="single" w:color="auto" w:sz="8" w:space="0"/>
            </w:tcBorders>
            <w:shd w:val="clear" w:color="auto" w:fill="auto"/>
            <w:vAlign w:val="center"/>
          </w:tcPr>
          <w:p>
            <w:pPr>
              <w:pStyle w:val="178"/>
              <w:rPr>
                <w:rFonts w:ascii="Times New Roman"/>
              </w:rPr>
            </w:pPr>
            <w:r>
              <w:rPr>
                <w:rFonts w:ascii="Times New Roman"/>
              </w:rPr>
              <w:t>2亿活孢子/g金龟子绿僵CQMa421颗粒剂</w:t>
            </w:r>
          </w:p>
        </w:tc>
        <w:tc>
          <w:tcPr>
            <w:tcW w:w="1644" w:type="dxa"/>
            <w:vMerge w:val="restart"/>
            <w:tcBorders>
              <w:top w:val="single" w:color="auto" w:sz="8" w:space="0"/>
            </w:tcBorders>
            <w:shd w:val="clear" w:color="auto" w:fill="auto"/>
            <w:vAlign w:val="center"/>
          </w:tcPr>
          <w:p>
            <w:pPr>
              <w:pStyle w:val="178"/>
              <w:rPr>
                <w:rFonts w:ascii="Times New Roman"/>
              </w:rPr>
            </w:pPr>
            <w:r>
              <w:rPr>
                <w:rFonts w:ascii="Times New Roman"/>
              </w:rPr>
              <w:t>地下害虫</w:t>
            </w:r>
          </w:p>
        </w:tc>
        <w:tc>
          <w:tcPr>
            <w:tcW w:w="2090" w:type="dxa"/>
            <w:tcBorders>
              <w:top w:val="single" w:color="auto" w:sz="8" w:space="0"/>
            </w:tcBorders>
            <w:shd w:val="clear" w:color="auto" w:fill="auto"/>
            <w:vAlign w:val="center"/>
          </w:tcPr>
          <w:p>
            <w:pPr>
              <w:pStyle w:val="178"/>
              <w:rPr>
                <w:rFonts w:ascii="Times New Roman"/>
              </w:rPr>
            </w:pPr>
            <w:r>
              <w:rPr>
                <w:rFonts w:ascii="Times New Roman"/>
              </w:rPr>
              <w:t>4Kg</w:t>
            </w:r>
            <w:r>
              <w:rPr>
                <w:rFonts w:hint="default" w:ascii="Times New Roman"/>
                <w:lang w:val="en"/>
              </w:rPr>
              <w:t>/</w:t>
            </w:r>
            <w:r>
              <w:rPr>
                <w:rFonts w:ascii="Times New Roman"/>
              </w:rPr>
              <w:t>667 ㎡</w:t>
            </w:r>
          </w:p>
        </w:tc>
        <w:tc>
          <w:tcPr>
            <w:tcW w:w="1867" w:type="dxa"/>
            <w:tcBorders>
              <w:top w:val="single" w:color="auto" w:sz="8" w:space="0"/>
            </w:tcBorders>
            <w:shd w:val="clear" w:color="auto" w:fill="auto"/>
            <w:vAlign w:val="center"/>
          </w:tcPr>
          <w:p>
            <w:pPr>
              <w:pStyle w:val="178"/>
              <w:ind w:firstLine="360" w:firstLineChars="200"/>
              <w:jc w:val="left"/>
              <w:rPr>
                <w:rFonts w:ascii="Times New Roman"/>
              </w:rPr>
            </w:pPr>
            <w:r>
              <w:rPr>
                <w:rFonts w:ascii="Times New Roman"/>
              </w:rPr>
              <w:t>与适量细土拌匀，均匀施入栽植行内。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pPr>
              <w:pStyle w:val="178"/>
              <w:rPr>
                <w:rFonts w:ascii="Times New Roman"/>
              </w:rPr>
            </w:pPr>
            <w:r>
              <w:rPr>
                <w:rFonts w:ascii="Times New Roman"/>
              </w:rPr>
              <w:t>2</w:t>
            </w:r>
          </w:p>
        </w:tc>
        <w:tc>
          <w:tcPr>
            <w:tcW w:w="3034" w:type="dxa"/>
            <w:shd w:val="clear" w:color="auto" w:fill="auto"/>
            <w:vAlign w:val="center"/>
          </w:tcPr>
          <w:p>
            <w:pPr>
              <w:pStyle w:val="178"/>
              <w:rPr>
                <w:rFonts w:ascii="Times New Roman"/>
              </w:rPr>
            </w:pPr>
            <w:r>
              <w:rPr>
                <w:rFonts w:hint="default" w:ascii="Times New Roman"/>
                <w:lang w:val="en"/>
              </w:rPr>
              <w:t>8</w:t>
            </w:r>
            <w:r>
              <w:rPr>
                <w:rFonts w:ascii="Times New Roman"/>
              </w:rPr>
              <w:t>0亿活孢子/ml金龟子绿僵菌CQMa421可分散油悬浮剂</w:t>
            </w:r>
          </w:p>
        </w:tc>
        <w:tc>
          <w:tcPr>
            <w:tcW w:w="1644" w:type="dxa"/>
            <w:vMerge w:val="continue"/>
            <w:shd w:val="clear" w:color="auto" w:fill="auto"/>
            <w:vAlign w:val="center"/>
          </w:tcPr>
          <w:p>
            <w:pPr>
              <w:pStyle w:val="178"/>
              <w:rPr>
                <w:rFonts w:ascii="Times New Roman"/>
              </w:rPr>
            </w:pPr>
          </w:p>
        </w:tc>
        <w:tc>
          <w:tcPr>
            <w:tcW w:w="2090" w:type="dxa"/>
            <w:shd w:val="clear" w:color="auto" w:fill="auto"/>
            <w:vAlign w:val="center"/>
          </w:tcPr>
          <w:p>
            <w:pPr>
              <w:pStyle w:val="178"/>
              <w:rPr>
                <w:rFonts w:ascii="Times New Roman"/>
              </w:rPr>
            </w:pPr>
            <w:r>
              <w:rPr>
                <w:rFonts w:ascii="Times New Roman"/>
              </w:rPr>
              <w:t>200 ml</w:t>
            </w:r>
            <w:r>
              <w:rPr>
                <w:rFonts w:hint="default" w:ascii="Times New Roman"/>
                <w:lang w:val="en"/>
              </w:rPr>
              <w:t>/</w:t>
            </w:r>
            <w:r>
              <w:rPr>
                <w:rFonts w:ascii="Times New Roman"/>
              </w:rPr>
              <w:t>100 kg种子</w:t>
            </w:r>
          </w:p>
        </w:tc>
        <w:tc>
          <w:tcPr>
            <w:tcW w:w="1867" w:type="dxa"/>
            <w:shd w:val="clear" w:color="auto" w:fill="auto"/>
            <w:vAlign w:val="center"/>
          </w:tcPr>
          <w:p>
            <w:pPr>
              <w:pStyle w:val="178"/>
              <w:ind w:firstLine="360" w:firstLineChars="200"/>
              <w:jc w:val="left"/>
              <w:rPr>
                <w:rFonts w:ascii="Times New Roman"/>
              </w:rPr>
            </w:pPr>
            <w:r>
              <w:rPr>
                <w:rFonts w:ascii="Times New Roman"/>
              </w:rPr>
              <w:t>加入适量水拌种。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9" w:type="dxa"/>
            <w:shd w:val="clear" w:color="auto" w:fill="auto"/>
            <w:vAlign w:val="center"/>
          </w:tcPr>
          <w:p>
            <w:pPr>
              <w:pStyle w:val="178"/>
              <w:rPr>
                <w:rFonts w:ascii="Times New Roman"/>
              </w:rPr>
            </w:pPr>
            <w:r>
              <w:rPr>
                <w:rFonts w:ascii="Times New Roman"/>
              </w:rPr>
              <w:t>3</w:t>
            </w:r>
          </w:p>
        </w:tc>
        <w:tc>
          <w:tcPr>
            <w:tcW w:w="3034" w:type="dxa"/>
            <w:shd w:val="clear" w:color="auto" w:fill="auto"/>
            <w:vAlign w:val="center"/>
          </w:tcPr>
          <w:p>
            <w:pPr>
              <w:pStyle w:val="178"/>
              <w:rPr>
                <w:rFonts w:ascii="Times New Roman"/>
              </w:rPr>
            </w:pPr>
            <w:r>
              <w:rPr>
                <w:rFonts w:ascii="Times New Roman"/>
              </w:rPr>
              <w:t>70%吡虫啉水分散粒剂</w:t>
            </w:r>
          </w:p>
        </w:tc>
        <w:tc>
          <w:tcPr>
            <w:tcW w:w="1644" w:type="dxa"/>
            <w:vMerge w:val="restart"/>
            <w:shd w:val="clear" w:color="auto" w:fill="auto"/>
            <w:vAlign w:val="center"/>
          </w:tcPr>
          <w:p>
            <w:pPr>
              <w:pStyle w:val="178"/>
              <w:rPr>
                <w:rFonts w:ascii="Times New Roman"/>
              </w:rPr>
            </w:pPr>
            <w:r>
              <w:rPr>
                <w:rFonts w:ascii="Times New Roman"/>
              </w:rPr>
              <w:t>蚜虫</w:t>
            </w:r>
          </w:p>
        </w:tc>
        <w:tc>
          <w:tcPr>
            <w:tcW w:w="2090" w:type="dxa"/>
            <w:shd w:val="clear" w:color="auto" w:fill="auto"/>
            <w:vAlign w:val="center"/>
          </w:tcPr>
          <w:p>
            <w:pPr>
              <w:pStyle w:val="178"/>
              <w:rPr>
                <w:rFonts w:ascii="Times New Roman"/>
              </w:rPr>
            </w:pPr>
            <w:r>
              <w:rPr>
                <w:rFonts w:ascii="Times New Roman"/>
              </w:rPr>
              <w:t>4 g</w:t>
            </w:r>
            <w:r>
              <w:rPr>
                <w:rFonts w:hint="eastAsia" w:ascii="Times New Roman"/>
              </w:rPr>
              <w:t>/</w:t>
            </w:r>
            <w:r>
              <w:rPr>
                <w:rFonts w:ascii="Times New Roman"/>
              </w:rPr>
              <w:t>667 ㎡</w:t>
            </w:r>
          </w:p>
        </w:tc>
        <w:tc>
          <w:tcPr>
            <w:tcW w:w="1867" w:type="dxa"/>
            <w:shd w:val="clear" w:color="auto" w:fill="auto"/>
            <w:vAlign w:val="center"/>
          </w:tcPr>
          <w:p>
            <w:pPr>
              <w:pStyle w:val="178"/>
              <w:ind w:firstLine="360" w:firstLineChars="200"/>
              <w:jc w:val="left"/>
              <w:rPr>
                <w:rFonts w:ascii="Times New Roman"/>
              </w:rPr>
            </w:pPr>
            <w:r>
              <w:rPr>
                <w:rFonts w:ascii="Times New Roman"/>
              </w:rPr>
              <w:t>百穗蚜量达500头可喷雾防治。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pPr>
              <w:pStyle w:val="178"/>
              <w:rPr>
                <w:rFonts w:ascii="Times New Roman"/>
              </w:rPr>
            </w:pPr>
            <w:r>
              <w:rPr>
                <w:rFonts w:ascii="Times New Roman"/>
              </w:rPr>
              <w:t>4</w:t>
            </w:r>
          </w:p>
        </w:tc>
        <w:tc>
          <w:tcPr>
            <w:tcW w:w="3034" w:type="dxa"/>
            <w:shd w:val="clear" w:color="auto" w:fill="auto"/>
            <w:vAlign w:val="center"/>
          </w:tcPr>
          <w:p>
            <w:pPr>
              <w:pStyle w:val="178"/>
              <w:rPr>
                <w:rFonts w:ascii="Times New Roman"/>
              </w:rPr>
            </w:pPr>
            <w:r>
              <w:rPr>
                <w:rFonts w:ascii="Times New Roman"/>
              </w:rPr>
              <w:t>25%吡蚜酮水分散粒剂</w:t>
            </w:r>
          </w:p>
        </w:tc>
        <w:tc>
          <w:tcPr>
            <w:tcW w:w="1644" w:type="dxa"/>
            <w:vMerge w:val="continue"/>
            <w:shd w:val="clear" w:color="auto" w:fill="auto"/>
            <w:vAlign w:val="center"/>
          </w:tcPr>
          <w:p>
            <w:pPr>
              <w:pStyle w:val="178"/>
              <w:rPr>
                <w:rFonts w:ascii="Times New Roman"/>
              </w:rPr>
            </w:pPr>
          </w:p>
        </w:tc>
        <w:tc>
          <w:tcPr>
            <w:tcW w:w="2090" w:type="dxa"/>
            <w:shd w:val="clear" w:color="auto" w:fill="auto"/>
            <w:vAlign w:val="center"/>
          </w:tcPr>
          <w:p>
            <w:pPr>
              <w:pStyle w:val="178"/>
              <w:rPr>
                <w:rFonts w:ascii="Times New Roman"/>
              </w:rPr>
            </w:pPr>
            <w:r>
              <w:rPr>
                <w:rFonts w:ascii="Times New Roman"/>
              </w:rPr>
              <w:t>40 g</w:t>
            </w:r>
            <w:r>
              <w:rPr>
                <w:rFonts w:hint="default" w:ascii="Times New Roman"/>
                <w:lang w:val="en"/>
              </w:rPr>
              <w:t>/</w:t>
            </w:r>
            <w:r>
              <w:rPr>
                <w:rFonts w:ascii="Times New Roman"/>
              </w:rPr>
              <w:t>667 ㎡</w:t>
            </w:r>
          </w:p>
        </w:tc>
        <w:tc>
          <w:tcPr>
            <w:tcW w:w="1867" w:type="dxa"/>
            <w:shd w:val="clear" w:color="auto" w:fill="auto"/>
            <w:vAlign w:val="center"/>
          </w:tcPr>
          <w:p>
            <w:pPr>
              <w:pStyle w:val="178"/>
              <w:ind w:firstLine="360" w:firstLineChars="200"/>
              <w:jc w:val="left"/>
              <w:rPr>
                <w:rFonts w:ascii="Times New Roman"/>
              </w:rPr>
            </w:pPr>
            <w:r>
              <w:rPr>
                <w:rFonts w:ascii="Times New Roman"/>
              </w:rPr>
              <w:t>百穗蚜量达500头可喷雾防治。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pPr>
              <w:pStyle w:val="178"/>
              <w:rPr>
                <w:rFonts w:ascii="Times New Roman"/>
              </w:rPr>
            </w:pPr>
            <w:r>
              <w:rPr>
                <w:rFonts w:ascii="Times New Roman"/>
              </w:rPr>
              <w:t>5</w:t>
            </w:r>
          </w:p>
        </w:tc>
        <w:tc>
          <w:tcPr>
            <w:tcW w:w="3034" w:type="dxa"/>
            <w:shd w:val="clear" w:color="auto" w:fill="auto"/>
            <w:vAlign w:val="center"/>
          </w:tcPr>
          <w:p>
            <w:pPr>
              <w:pStyle w:val="178"/>
              <w:rPr>
                <w:rFonts w:ascii="Times New Roman"/>
              </w:rPr>
            </w:pPr>
            <w:r>
              <w:rPr>
                <w:rFonts w:ascii="Times New Roman"/>
              </w:rPr>
              <w:t>1%甲氨基阿维菌素苯甲酸盐微乳剂</w:t>
            </w:r>
          </w:p>
        </w:tc>
        <w:tc>
          <w:tcPr>
            <w:tcW w:w="1644" w:type="dxa"/>
            <w:vMerge w:val="restart"/>
            <w:shd w:val="clear" w:color="auto" w:fill="auto"/>
            <w:vAlign w:val="center"/>
          </w:tcPr>
          <w:p>
            <w:pPr>
              <w:pStyle w:val="178"/>
              <w:rPr>
                <w:rFonts w:ascii="Times New Roman"/>
              </w:rPr>
            </w:pPr>
            <w:r>
              <w:rPr>
                <w:rFonts w:ascii="Times New Roman"/>
              </w:rPr>
              <w:t>粘虫、双斑萤叶甲</w:t>
            </w:r>
          </w:p>
        </w:tc>
        <w:tc>
          <w:tcPr>
            <w:tcW w:w="2090" w:type="dxa"/>
            <w:shd w:val="clear" w:color="auto" w:fill="auto"/>
            <w:vAlign w:val="center"/>
          </w:tcPr>
          <w:p>
            <w:pPr>
              <w:pStyle w:val="178"/>
              <w:rPr>
                <w:rFonts w:ascii="Times New Roman"/>
              </w:rPr>
            </w:pPr>
            <w:r>
              <w:rPr>
                <w:rFonts w:ascii="Times New Roman"/>
              </w:rPr>
              <w:t>20 g</w:t>
            </w:r>
            <w:r>
              <w:rPr>
                <w:rFonts w:hint="default" w:ascii="Times New Roman"/>
                <w:lang w:val="en"/>
              </w:rPr>
              <w:t>/</w:t>
            </w:r>
            <w:r>
              <w:rPr>
                <w:rFonts w:ascii="Times New Roman"/>
              </w:rPr>
              <w:t>667 ㎡</w:t>
            </w:r>
          </w:p>
        </w:tc>
        <w:tc>
          <w:tcPr>
            <w:tcW w:w="1867" w:type="dxa"/>
            <w:shd w:val="clear" w:color="auto" w:fill="auto"/>
            <w:vAlign w:val="center"/>
          </w:tcPr>
          <w:p>
            <w:pPr>
              <w:pStyle w:val="178"/>
              <w:ind w:firstLine="360" w:firstLineChars="200"/>
              <w:jc w:val="left"/>
              <w:rPr>
                <w:rFonts w:ascii="Times New Roman"/>
              </w:rPr>
            </w:pPr>
            <w:r>
              <w:rPr>
                <w:rFonts w:ascii="Times New Roman"/>
              </w:rPr>
              <w:t>粘虫幼虫3龄前和双斑萤叶甲发生初期喷雾防治，7 d～14 d喷1次，防治1～2次。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pPr>
              <w:pStyle w:val="178"/>
              <w:rPr>
                <w:rFonts w:ascii="Times New Roman"/>
              </w:rPr>
            </w:pPr>
            <w:r>
              <w:rPr>
                <w:rFonts w:ascii="Times New Roman"/>
              </w:rPr>
              <w:t>6</w:t>
            </w:r>
          </w:p>
        </w:tc>
        <w:tc>
          <w:tcPr>
            <w:tcW w:w="3034" w:type="dxa"/>
            <w:shd w:val="clear" w:color="auto" w:fill="auto"/>
            <w:vAlign w:val="center"/>
          </w:tcPr>
          <w:p>
            <w:pPr>
              <w:pStyle w:val="178"/>
              <w:rPr>
                <w:rFonts w:ascii="Times New Roman"/>
              </w:rPr>
            </w:pPr>
            <w:r>
              <w:rPr>
                <w:rFonts w:ascii="Times New Roman"/>
              </w:rPr>
              <w:t>20%氯虫苯甲酰胺悬浮剂</w:t>
            </w:r>
          </w:p>
        </w:tc>
        <w:tc>
          <w:tcPr>
            <w:tcW w:w="1644" w:type="dxa"/>
            <w:vMerge w:val="continue"/>
            <w:shd w:val="clear" w:color="auto" w:fill="auto"/>
            <w:vAlign w:val="center"/>
          </w:tcPr>
          <w:p>
            <w:pPr>
              <w:pStyle w:val="178"/>
              <w:rPr>
                <w:rFonts w:ascii="Times New Roman"/>
              </w:rPr>
            </w:pPr>
          </w:p>
        </w:tc>
        <w:tc>
          <w:tcPr>
            <w:tcW w:w="2090" w:type="dxa"/>
            <w:shd w:val="clear" w:color="auto" w:fill="auto"/>
            <w:vAlign w:val="center"/>
          </w:tcPr>
          <w:p>
            <w:pPr>
              <w:pStyle w:val="178"/>
              <w:rPr>
                <w:rFonts w:ascii="Times New Roman"/>
              </w:rPr>
            </w:pPr>
            <w:r>
              <w:rPr>
                <w:rFonts w:ascii="Times New Roman"/>
              </w:rPr>
              <w:t>13.75 g</w:t>
            </w:r>
            <w:r>
              <w:rPr>
                <w:rFonts w:hint="default" w:ascii="Times New Roman"/>
                <w:lang w:val="en"/>
              </w:rPr>
              <w:t>/</w:t>
            </w:r>
            <w:r>
              <w:rPr>
                <w:rFonts w:ascii="Times New Roman"/>
              </w:rPr>
              <w:t>667 ㎡</w:t>
            </w:r>
          </w:p>
        </w:tc>
        <w:tc>
          <w:tcPr>
            <w:tcW w:w="1867" w:type="dxa"/>
            <w:shd w:val="clear" w:color="auto" w:fill="auto"/>
            <w:vAlign w:val="center"/>
          </w:tcPr>
          <w:p>
            <w:pPr>
              <w:pStyle w:val="178"/>
              <w:ind w:firstLine="360" w:firstLineChars="200"/>
              <w:jc w:val="left"/>
              <w:rPr>
                <w:rFonts w:ascii="Times New Roman"/>
              </w:rPr>
            </w:pPr>
            <w:r>
              <w:rPr>
                <w:rFonts w:ascii="Times New Roman"/>
              </w:rPr>
              <w:t>粘虫幼虫3龄前和双斑萤叶甲发生初期喷雾防治，7 d～14 d喷1次，防治1～2次。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9" w:type="dxa"/>
            <w:shd w:val="clear" w:color="auto" w:fill="auto"/>
            <w:vAlign w:val="center"/>
          </w:tcPr>
          <w:p>
            <w:pPr>
              <w:pStyle w:val="178"/>
              <w:rPr>
                <w:rFonts w:ascii="Times New Roman"/>
              </w:rPr>
            </w:pPr>
            <w:r>
              <w:rPr>
                <w:rFonts w:ascii="Times New Roman"/>
              </w:rPr>
              <w:t>7</w:t>
            </w:r>
          </w:p>
        </w:tc>
        <w:tc>
          <w:tcPr>
            <w:tcW w:w="3034" w:type="dxa"/>
            <w:shd w:val="clear" w:color="auto" w:fill="auto"/>
            <w:vAlign w:val="center"/>
          </w:tcPr>
          <w:p>
            <w:pPr>
              <w:pStyle w:val="178"/>
              <w:rPr>
                <w:rFonts w:ascii="Times New Roman"/>
              </w:rPr>
            </w:pPr>
            <w:r>
              <w:rPr>
                <w:rFonts w:ascii="Times New Roman"/>
              </w:rPr>
              <w:t>25%丙环唑乳油</w:t>
            </w:r>
          </w:p>
        </w:tc>
        <w:tc>
          <w:tcPr>
            <w:tcW w:w="1644" w:type="dxa"/>
            <w:shd w:val="clear" w:color="auto" w:fill="auto"/>
            <w:vAlign w:val="center"/>
          </w:tcPr>
          <w:p>
            <w:pPr>
              <w:pStyle w:val="178"/>
              <w:rPr>
                <w:rFonts w:ascii="Times New Roman"/>
              </w:rPr>
            </w:pPr>
            <w:r>
              <w:rPr>
                <w:rFonts w:ascii="Times New Roman"/>
              </w:rPr>
              <w:t>锈病、叶斑病</w:t>
            </w:r>
          </w:p>
        </w:tc>
        <w:tc>
          <w:tcPr>
            <w:tcW w:w="2090" w:type="dxa"/>
            <w:shd w:val="clear" w:color="auto" w:fill="auto"/>
            <w:vAlign w:val="center"/>
          </w:tcPr>
          <w:p>
            <w:pPr>
              <w:pStyle w:val="178"/>
              <w:rPr>
                <w:rFonts w:ascii="Times New Roman"/>
              </w:rPr>
            </w:pPr>
            <w:r>
              <w:rPr>
                <w:rFonts w:ascii="Times New Roman"/>
              </w:rPr>
              <w:t>32 g</w:t>
            </w:r>
            <w:r>
              <w:rPr>
                <w:rFonts w:hint="default" w:ascii="Times New Roman"/>
                <w:lang w:val="en"/>
              </w:rPr>
              <w:t>/</w:t>
            </w:r>
            <w:r>
              <w:rPr>
                <w:rFonts w:ascii="Times New Roman"/>
              </w:rPr>
              <w:t>667 ㎡</w:t>
            </w:r>
          </w:p>
        </w:tc>
        <w:tc>
          <w:tcPr>
            <w:tcW w:w="1867" w:type="dxa"/>
            <w:shd w:val="clear" w:color="auto" w:fill="auto"/>
            <w:vAlign w:val="center"/>
          </w:tcPr>
          <w:p>
            <w:pPr>
              <w:pStyle w:val="178"/>
              <w:ind w:firstLine="360" w:firstLineChars="200"/>
              <w:jc w:val="left"/>
              <w:rPr>
                <w:rFonts w:ascii="Times New Roman"/>
              </w:rPr>
            </w:pPr>
            <w:r>
              <w:rPr>
                <w:rFonts w:ascii="Times New Roman"/>
              </w:rPr>
              <w:t>发病初期喷雾防治，15 d～20 d喷1次，防治1～2次。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pPr>
              <w:pStyle w:val="178"/>
              <w:rPr>
                <w:rFonts w:ascii="Times New Roman"/>
              </w:rPr>
            </w:pPr>
            <w:r>
              <w:rPr>
                <w:rFonts w:ascii="Times New Roman"/>
              </w:rPr>
              <w:t>8</w:t>
            </w:r>
          </w:p>
        </w:tc>
        <w:tc>
          <w:tcPr>
            <w:tcW w:w="3034" w:type="dxa"/>
            <w:shd w:val="clear" w:color="auto" w:fill="auto"/>
            <w:vAlign w:val="center"/>
          </w:tcPr>
          <w:p>
            <w:pPr>
              <w:pStyle w:val="178"/>
              <w:rPr>
                <w:rFonts w:ascii="Times New Roman"/>
              </w:rPr>
            </w:pPr>
            <w:r>
              <w:rPr>
                <w:rFonts w:ascii="Times New Roman"/>
              </w:rPr>
              <w:t>2000亿CFU/克枯草芽孢杆菌可湿性粉剂</w:t>
            </w:r>
          </w:p>
        </w:tc>
        <w:tc>
          <w:tcPr>
            <w:tcW w:w="1644" w:type="dxa"/>
            <w:vMerge w:val="restart"/>
            <w:shd w:val="clear" w:color="auto" w:fill="auto"/>
            <w:vAlign w:val="center"/>
          </w:tcPr>
          <w:p>
            <w:pPr>
              <w:pStyle w:val="178"/>
              <w:rPr>
                <w:rFonts w:ascii="Times New Roman"/>
              </w:rPr>
            </w:pPr>
            <w:r>
              <w:rPr>
                <w:rFonts w:ascii="Times New Roman"/>
              </w:rPr>
              <w:t>锈病、黑穗病、炭疽病</w:t>
            </w:r>
          </w:p>
        </w:tc>
        <w:tc>
          <w:tcPr>
            <w:tcW w:w="2090" w:type="dxa"/>
            <w:vMerge w:val="restart"/>
            <w:shd w:val="clear" w:color="auto" w:fill="auto"/>
            <w:vAlign w:val="center"/>
          </w:tcPr>
          <w:p>
            <w:pPr>
              <w:pStyle w:val="178"/>
              <w:rPr>
                <w:rFonts w:ascii="Times New Roman"/>
              </w:rPr>
            </w:pPr>
            <w:r>
              <w:rPr>
                <w:rFonts w:ascii="Times New Roman"/>
              </w:rPr>
              <w:t>800倍液</w:t>
            </w:r>
          </w:p>
        </w:tc>
        <w:tc>
          <w:tcPr>
            <w:tcW w:w="1867" w:type="dxa"/>
            <w:vMerge w:val="restart"/>
            <w:shd w:val="clear" w:color="auto" w:fill="auto"/>
            <w:vAlign w:val="center"/>
          </w:tcPr>
          <w:p>
            <w:pPr>
              <w:pStyle w:val="178"/>
              <w:ind w:firstLine="360" w:firstLineChars="200"/>
              <w:jc w:val="left"/>
              <w:rPr>
                <w:rFonts w:ascii="Times New Roman"/>
              </w:rPr>
            </w:pPr>
            <w:r>
              <w:rPr>
                <w:rFonts w:ascii="Times New Roman"/>
              </w:rPr>
              <w:t>苗期灌根</w:t>
            </w:r>
            <w:bookmarkStart w:id="62" w:name="_GoBack"/>
            <w:bookmarkEnd w:id="62"/>
            <w:r>
              <w:rPr>
                <w:rFonts w:ascii="Times New Roma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pPr>
              <w:pStyle w:val="178"/>
              <w:rPr>
                <w:rFonts w:hint="eastAsia"/>
              </w:rPr>
            </w:pPr>
            <w:r>
              <w:rPr>
                <w:rFonts w:hint="eastAsia"/>
              </w:rPr>
              <w:t>9</w:t>
            </w:r>
          </w:p>
        </w:tc>
        <w:tc>
          <w:tcPr>
            <w:tcW w:w="3034" w:type="dxa"/>
            <w:shd w:val="clear" w:color="auto" w:fill="auto"/>
            <w:vAlign w:val="center"/>
          </w:tcPr>
          <w:p>
            <w:pPr>
              <w:pStyle w:val="178"/>
            </w:pPr>
            <w:r>
              <w:rPr>
                <w:rFonts w:hint="eastAsia" w:ascii="Times New Roman"/>
              </w:rPr>
              <w:t>10亿CFU/克</w:t>
            </w:r>
            <w:r>
              <w:rPr>
                <w:rFonts w:hint="eastAsia"/>
              </w:rPr>
              <w:t>多粘类芽孢杆菌可湿性粉剂</w:t>
            </w:r>
          </w:p>
        </w:tc>
        <w:tc>
          <w:tcPr>
            <w:tcW w:w="1644" w:type="dxa"/>
            <w:vMerge w:val="continue"/>
            <w:shd w:val="clear" w:color="auto" w:fill="auto"/>
            <w:vAlign w:val="center"/>
          </w:tcPr>
          <w:p>
            <w:pPr>
              <w:pStyle w:val="178"/>
            </w:pPr>
          </w:p>
        </w:tc>
        <w:tc>
          <w:tcPr>
            <w:tcW w:w="2090" w:type="dxa"/>
            <w:vMerge w:val="continue"/>
            <w:shd w:val="clear" w:color="auto" w:fill="auto"/>
            <w:vAlign w:val="center"/>
          </w:tcPr>
          <w:p>
            <w:pPr>
              <w:pStyle w:val="178"/>
            </w:pPr>
          </w:p>
        </w:tc>
        <w:tc>
          <w:tcPr>
            <w:tcW w:w="1867" w:type="dxa"/>
            <w:vMerge w:val="continue"/>
            <w:shd w:val="clear" w:color="auto" w:fill="auto"/>
            <w:vAlign w:val="center"/>
          </w:tcPr>
          <w:p>
            <w:pPr>
              <w:pStyle w:val="178"/>
            </w:pPr>
          </w:p>
        </w:tc>
      </w:tr>
    </w:tbl>
    <w:p>
      <w:pPr>
        <w:pStyle w:val="56"/>
        <w:ind w:firstLine="0" w:firstLineChars="0"/>
        <w:rPr>
          <w:rFonts w:hint="eastAsia"/>
        </w:rPr>
      </w:pPr>
    </w:p>
    <w:bookmarkEnd w:id="58"/>
    <w:p>
      <w:pPr>
        <w:pStyle w:val="56"/>
        <w:ind w:firstLine="0" w:firstLineChars="0"/>
        <w:jc w:val="center"/>
      </w:pPr>
      <w:bookmarkStart w:id="61"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6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等线">
    <w:altName w:val="宋体"/>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NanumGothic">
    <w:panose1 w:val="020D0604000000000000"/>
    <w:charset w:val="81"/>
    <w:family w:val="auto"/>
    <w:pitch w:val="default"/>
    <w:sig w:usb0="900002A7" w:usb1="29D7FCFB" w:usb2="00000010" w:usb3="00000000" w:csb0="00080001" w:csb1="00000000"/>
  </w:font>
  <w:font w:name="等线">
    <w:altName w:val="宋体"/>
    <w:panose1 w:val="00000000000000000000"/>
    <w:charset w:val="00"/>
    <w:family w:val="auto"/>
    <w:pitch w:val="default"/>
    <w:sig w:usb0="00000000" w:usb1="00000000" w:usb2="00000000" w:usb3="00000000" w:csb0="0000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1276"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true"/>
  <w:bordersDoNotSurroundHeader w:val="true"/>
  <w:bordersDoNotSurroundFooter w:val="true"/>
  <w:attachedTemplate r:id="rId1"/>
  <w:documentProtection w:edit="forms" w:enforcement="1" w:cryptProviderType="rsaAES" w:cryptAlgorithmClass="hash" w:cryptAlgorithmType="typeAny" w:cryptAlgorithmSid="14" w:cryptSpinCount="100000" w:hash="7bIEODSr9EMVG7oSOPnP6I2/ZVUR4V2zeeMhOaTSbljrgPZElqpQFEatJgqSOe0jqZISLg5g2IE3aJj4WrmxfQ==" w:salt="j8HliTmi3Xp6HT+RJTIg6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75B"/>
    <w:rsid w:val="0000040A"/>
    <w:rsid w:val="00000A94"/>
    <w:rsid w:val="00001972"/>
    <w:rsid w:val="00001D9A"/>
    <w:rsid w:val="0000451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75B"/>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401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8AB"/>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A6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7B2"/>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6D7"/>
    <w:rsid w:val="009911AF"/>
    <w:rsid w:val="00991875"/>
    <w:rsid w:val="00991F92"/>
    <w:rsid w:val="00992985"/>
    <w:rsid w:val="00992C89"/>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307"/>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468"/>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02A"/>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06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17A"/>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EF1E3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76AEB1A1BF54F1EBE79FFA94DF0A45E"/>
        <w:style w:val=""/>
        <w:category>
          <w:name w:val="常规"/>
          <w:gallery w:val="placeholder"/>
        </w:category>
        <w:types>
          <w:type w:val="bbPlcHdr"/>
        </w:types>
        <w:behaviors>
          <w:behavior w:val="content"/>
        </w:behaviors>
        <w:description w:val=""/>
        <w:guid w:val="{321C4D0E-CCA2-4FD1-9E59-8B3B338D70FD}"/>
      </w:docPartPr>
      <w:docPartBody>
        <w:p>
          <w:pPr>
            <w:pStyle w:val="5"/>
          </w:pPr>
          <w:r>
            <w:rPr>
              <w:rStyle w:val="4"/>
              <w:rFonts w:hint="eastAsia"/>
            </w:rPr>
            <w:t>单击或点击此处输入文字。</w:t>
          </w:r>
        </w:p>
      </w:docPartBody>
    </w:docPart>
    <w:docPart>
      <w:docPartPr>
        <w:name w:val="442FD3B12952408D842E537B764B1375"/>
        <w:style w:val=""/>
        <w:category>
          <w:name w:val="常规"/>
          <w:gallery w:val="placeholder"/>
        </w:category>
        <w:types>
          <w:type w:val="bbPlcHdr"/>
        </w:types>
        <w:behaviors>
          <w:behavior w:val="content"/>
        </w:behaviors>
        <w:description w:val=""/>
        <w:guid w:val="{EFC3E8DF-35D8-47F9-9AF6-694B8F79FDDA}"/>
      </w:docPartPr>
      <w:docPartBody>
        <w:p>
          <w:pPr>
            <w:pStyle w:val="6"/>
          </w:pPr>
          <w:r>
            <w:rPr>
              <w:rStyle w:val="4"/>
              <w:rFonts w:hint="eastAsia"/>
            </w:rPr>
            <w:t>选择一项。</w:t>
          </w:r>
        </w:p>
      </w:docPartBody>
    </w:docPart>
    <w:docPart>
      <w:docPartPr>
        <w:name w:val="F9A2BFA7E6B44A86B9DF7F4FA57F0FAF"/>
        <w:style w:val=""/>
        <w:category>
          <w:name w:val="常规"/>
          <w:gallery w:val="placeholder"/>
        </w:category>
        <w:types>
          <w:type w:val="bbPlcHdr"/>
        </w:types>
        <w:behaviors>
          <w:behavior w:val="content"/>
        </w:behaviors>
        <w:description w:val=""/>
        <w:guid w:val="{9C4632DA-522F-42FF-AF2B-DB72192B2D7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D94"/>
    <w:rsid w:val="00235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76AEB1A1BF54F1EBE79FFA94DF0A4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42FD3B12952408D842E537B764B13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9A2BFA7E6B44A86B9DF7F4FA57F0FA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1914</Words>
  <Characters>2393</Characters>
  <Lines>398</Lines>
  <Paragraphs>358</Paragraphs>
  <TotalTime>1</TotalTime>
  <ScaleCrop>false</ScaleCrop>
  <LinksUpToDate>false</LinksUpToDate>
  <CharactersWithSpaces>3949</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2024-10-28T10:48:00Z</dcterms:created>
  <dc:creator>Windows 用户</dc:creator>
  <dc:description>&lt;config cover="true" show_menu="true" version="1.0.0" doctype="SDKXY"&gt;_x000d_
&lt;/config&gt;</dc:description>
  <cp:lastModifiedBy>baixin</cp:lastModifiedBy>
  <cp:lastPrinted>2020-08-30T18:00:00Z</cp:lastPrinted>
  <dcterms:modified xsi:type="dcterms:W3CDTF">2024-10-28T16:10:53Z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2052-11.8.2.9695</vt:lpwstr>
  </property>
</Properties>
</file>